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A3CAC" w:rsidR="003554C5" w:rsidP="007A3CAC" w:rsidRDefault="007A3CAC" w14:paraId="5DBD572D" w14:textId="515BEF38">
      <w:pPr>
        <w:pStyle w:val="Texto0"/>
        <w:spacing w:before="0" w:after="0" w:line="240" w:lineRule="auto"/>
        <w:jc w:val="center"/>
        <w:rPr>
          <w:b/>
          <w:sz w:val="24"/>
        </w:rPr>
      </w:pPr>
      <w:r w:rsidRPr="00781E23">
        <w:rPr>
          <w:b/>
          <w:sz w:val="24"/>
        </w:rPr>
        <w:t>Circular Externa</w:t>
      </w:r>
    </w:p>
    <w:sdt>
      <w:sdtPr>
        <w:rPr>
          <w:sz w:val="24"/>
        </w:rPr>
        <w:alias w:val="Consecutivo"/>
        <w:tag w:val="Consecutivo"/>
        <w:id w:val="2052717023"/>
        <w:placeholder>
          <w:docPart w:val="3C2FD16F9C5E45BF86FE7DEC7CC47E49"/>
        </w:placeholder>
        <w:text/>
      </w:sdtPr>
      <w:sdtEndPr/>
      <w:sdtContent>
        <w:p w:rsidR="00E0013C" w:rsidP="007A3CAC" w:rsidRDefault="00DE18D9" w14:paraId="43C64877" w14:textId="77777777">
          <w:pPr>
            <w:tabs>
              <w:tab w:val="left" w:pos="2843"/>
            </w:tabs>
            <w:spacing w:line="240" w:lineRule="auto"/>
            <w:jc w:val="center"/>
            <w:rPr>
              <w:sz w:val="24"/>
            </w:rPr>
          </w:pPr>
          <w:r>
            <w:t>SGF-3559-2018</w:t>
          </w:r>
        </w:p>
      </w:sdtContent>
    </w:sdt>
    <w:p w:rsidR="00AB580B" w:rsidP="007A3CAC" w:rsidRDefault="00D1330E" w14:paraId="28D6E562" w14:textId="0FDB78F0">
      <w:pPr>
        <w:tabs>
          <w:tab w:val="left" w:pos="2843"/>
        </w:tabs>
        <w:spacing w:line="240" w:lineRule="auto"/>
        <w:jc w:val="center"/>
        <w:rPr>
          <w:sz w:val="24"/>
        </w:rPr>
      </w:pPr>
      <w:sdt>
        <w:sdtPr>
          <w:rPr>
            <w:sz w:val="24"/>
          </w:rPr>
          <w:alias w:val="Confidencialidad"/>
          <w:tag w:val="Confidencialidad"/>
          <w:id w:val="1447896894"/>
          <w:placeholder>
            <w:docPart w:val="E53711F430EF4F2FA36F658C1269536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A86C83">
            <w:rPr>
              <w:sz w:val="24"/>
            </w:rPr>
            <w:t>SGF-PROPIETARIO</w:t>
          </w:r>
        </w:sdtContent>
      </w:sdt>
    </w:p>
    <w:p w:rsidR="007A3CAC" w:rsidP="007A3CAC" w:rsidRDefault="007F68A5" w14:paraId="572AA682" w14:textId="2B7A7C61">
      <w:pPr>
        <w:tabs>
          <w:tab w:val="left" w:pos="2843"/>
        </w:tabs>
        <w:spacing w:line="240" w:lineRule="auto"/>
        <w:jc w:val="center"/>
        <w:rPr>
          <w:sz w:val="24"/>
        </w:rPr>
      </w:pPr>
      <w:r>
        <w:rPr>
          <w:sz w:val="24"/>
        </w:rPr>
        <w:t>19</w:t>
      </w:r>
      <w:r w:rsidR="007A3CAC">
        <w:rPr>
          <w:sz w:val="24"/>
        </w:rPr>
        <w:t xml:space="preserve"> de noviembre del 2018</w:t>
      </w:r>
    </w:p>
    <w:p w:rsidR="007A3CAC" w:rsidP="007A3CAC" w:rsidRDefault="007A3CAC" w14:paraId="1A42B520" w14:textId="77777777">
      <w:pPr>
        <w:tabs>
          <w:tab w:val="left" w:pos="2843"/>
        </w:tabs>
        <w:spacing w:line="240" w:lineRule="auto"/>
        <w:jc w:val="center"/>
        <w:rPr>
          <w:sz w:val="24"/>
        </w:rPr>
      </w:pPr>
    </w:p>
    <w:p w:rsidRPr="002E2B0A" w:rsidR="003554C5" w:rsidP="00D26EDE" w:rsidRDefault="008F1461" w14:paraId="0C2B55AF" w14:textId="77777777">
      <w:pPr>
        <w:tabs>
          <w:tab w:val="left" w:pos="2843"/>
        </w:tabs>
        <w:spacing w:line="240" w:lineRule="auto"/>
        <w:rPr>
          <w:sz w:val="24"/>
        </w:rPr>
      </w:pPr>
      <w:r w:rsidRPr="002E2B0A">
        <w:rPr>
          <w:sz w:val="24"/>
        </w:rPr>
        <w:tab/>
      </w:r>
    </w:p>
    <w:p w:rsidR="007A3CAC" w:rsidP="007A3CAC" w:rsidRDefault="007A3CAC" w14:paraId="7582D1DE" w14:textId="77777777">
      <w:pPr>
        <w:widowControl w:val="0"/>
        <w:spacing w:line="240" w:lineRule="auto"/>
        <w:ind w:left="34" w:right="86"/>
        <w:outlineLvl w:val="0"/>
        <w:rPr>
          <w:rFonts w:asciiTheme="majorHAnsi" w:hAnsiTheme="majorHAnsi"/>
          <w:b/>
          <w:sz w:val="24"/>
          <w:lang w:val="es-CR"/>
        </w:rPr>
      </w:pPr>
      <w:r>
        <w:rPr>
          <w:rFonts w:asciiTheme="majorHAnsi" w:hAnsiTheme="majorHAnsi"/>
          <w:b/>
          <w:sz w:val="24"/>
          <w:lang w:val="es-CR"/>
        </w:rPr>
        <w:t>Dirigida a</w:t>
      </w:r>
      <w:r w:rsidRPr="002018D1">
        <w:rPr>
          <w:rFonts w:asciiTheme="majorHAnsi" w:hAnsiTheme="majorHAnsi"/>
          <w:b/>
          <w:sz w:val="24"/>
          <w:lang w:val="es-CR"/>
        </w:rPr>
        <w:t>:</w:t>
      </w:r>
      <w:r>
        <w:rPr>
          <w:rFonts w:asciiTheme="majorHAnsi" w:hAnsiTheme="majorHAnsi"/>
          <w:b/>
          <w:sz w:val="24"/>
          <w:lang w:val="es-CR"/>
        </w:rPr>
        <w:t xml:space="preserve"> </w:t>
      </w:r>
    </w:p>
    <w:p w:rsidR="007A3CAC" w:rsidP="007A3CAC" w:rsidRDefault="007A3CAC" w14:paraId="36BA33CD" w14:textId="77777777">
      <w:pPr>
        <w:widowControl w:val="0"/>
        <w:spacing w:line="240" w:lineRule="auto"/>
        <w:ind w:left="34" w:right="86"/>
        <w:outlineLvl w:val="0"/>
        <w:rPr>
          <w:rFonts w:asciiTheme="majorHAnsi" w:hAnsiTheme="majorHAnsi"/>
          <w:b/>
          <w:sz w:val="24"/>
          <w:lang w:val="es-CR"/>
        </w:rPr>
      </w:pPr>
    </w:p>
    <w:p w:rsidRPr="00127C18" w:rsidR="00612DC3" w:rsidP="00612DC3" w:rsidRDefault="007F68A5" w14:paraId="77221BD8" w14:textId="5DC2B0E3">
      <w:pPr>
        <w:pStyle w:val="Prrafodelista"/>
        <w:numPr>
          <w:ilvl w:val="0"/>
          <w:numId w:val="13"/>
        </w:numPr>
        <w:spacing w:line="240" w:lineRule="exact"/>
        <w:jc w:val="both"/>
        <w:rPr>
          <w:rFonts w:ascii="Cambria" w:hAnsi="Cambria"/>
          <w:b/>
        </w:rPr>
      </w:pPr>
      <w:r>
        <w:rPr>
          <w:rFonts w:ascii="Cambria" w:hAnsi="Cambria"/>
          <w:b/>
          <w:lang w:eastAsia="en-US"/>
        </w:rPr>
        <w:t>L</w:t>
      </w:r>
      <w:r w:rsidRPr="00AE08B8" w:rsidR="00612DC3">
        <w:rPr>
          <w:rFonts w:ascii="Cambria" w:hAnsi="Cambria"/>
          <w:b/>
        </w:rPr>
        <w:t xml:space="preserve">os </w:t>
      </w:r>
      <w:r w:rsidR="00501823">
        <w:rPr>
          <w:rFonts w:ascii="Cambria" w:hAnsi="Cambria"/>
          <w:b/>
          <w:lang w:val="es-CR"/>
        </w:rPr>
        <w:t>Sujetos Obligados por l</w:t>
      </w:r>
      <w:r w:rsidRPr="00AE08B8" w:rsidR="00612DC3">
        <w:rPr>
          <w:rFonts w:ascii="Cambria" w:hAnsi="Cambria"/>
          <w:b/>
          <w:lang w:val="es-CR"/>
        </w:rPr>
        <w:t xml:space="preserve">os </w:t>
      </w:r>
      <w:r w:rsidR="00501823">
        <w:rPr>
          <w:rFonts w:ascii="Cambria" w:hAnsi="Cambria"/>
          <w:b/>
          <w:lang w:val="es-CR"/>
        </w:rPr>
        <w:t>Artículos 15 y 15 Bis</w:t>
      </w:r>
      <w:r w:rsidR="00127C18">
        <w:rPr>
          <w:rFonts w:ascii="Cambria" w:hAnsi="Cambria"/>
          <w:b/>
          <w:lang w:val="es-CR"/>
        </w:rPr>
        <w:t xml:space="preserve"> de la Ley 7786</w:t>
      </w:r>
    </w:p>
    <w:p w:rsidR="00127C18" w:rsidP="00612DC3" w:rsidRDefault="00127C18" w14:paraId="0E7C8F42" w14:textId="7C2FE73F">
      <w:pPr>
        <w:pStyle w:val="Prrafodelista"/>
        <w:numPr>
          <w:ilvl w:val="0"/>
          <w:numId w:val="13"/>
        </w:numPr>
        <w:spacing w:line="240" w:lineRule="exact"/>
        <w:jc w:val="both"/>
        <w:rPr>
          <w:rFonts w:ascii="Cambria" w:hAnsi="Cambria"/>
          <w:b/>
        </w:rPr>
      </w:pPr>
      <w:r>
        <w:rPr>
          <w:rFonts w:ascii="Cambria" w:hAnsi="Cambria"/>
          <w:b/>
        </w:rPr>
        <w:t>Entidades financieras supervisadas</w:t>
      </w:r>
    </w:p>
    <w:p w:rsidRPr="00AE08B8" w:rsidR="00127C18" w:rsidP="00612DC3" w:rsidRDefault="00127C18" w14:paraId="76A50C6D" w14:textId="2B96306E">
      <w:pPr>
        <w:pStyle w:val="Prrafodelista"/>
        <w:numPr>
          <w:ilvl w:val="0"/>
          <w:numId w:val="13"/>
        </w:numPr>
        <w:spacing w:line="240" w:lineRule="exact"/>
        <w:jc w:val="both"/>
        <w:rPr>
          <w:rFonts w:ascii="Cambria" w:hAnsi="Cambria"/>
          <w:b/>
        </w:rPr>
      </w:pPr>
      <w:r>
        <w:rPr>
          <w:rFonts w:ascii="Cambria" w:hAnsi="Cambria"/>
          <w:b/>
        </w:rPr>
        <w:t>Público en general</w:t>
      </w:r>
    </w:p>
    <w:p w:rsidRPr="00612DC3" w:rsidR="007A3CAC" w:rsidP="00612DC3" w:rsidRDefault="007A3CAC" w14:paraId="7E9220EE" w14:textId="77777777">
      <w:pPr>
        <w:widowControl w:val="0"/>
        <w:spacing w:line="240" w:lineRule="auto"/>
        <w:ind w:left="34" w:right="86"/>
        <w:rPr>
          <w:sz w:val="24"/>
        </w:rPr>
      </w:pPr>
    </w:p>
    <w:p w:rsidRPr="00883AFD" w:rsidR="007A3CAC" w:rsidP="00612DC3" w:rsidRDefault="007A3CAC" w14:paraId="47064B90" w14:textId="55B40D22">
      <w:pPr>
        <w:rPr>
          <w:rFonts w:asciiTheme="majorHAnsi" w:hAnsiTheme="majorHAnsi"/>
          <w:sz w:val="24"/>
        </w:rPr>
      </w:pPr>
      <w:r w:rsidRPr="00883AFD">
        <w:rPr>
          <w:rFonts w:asciiTheme="majorHAnsi" w:hAnsiTheme="majorHAnsi"/>
          <w:b/>
          <w:sz w:val="24"/>
        </w:rPr>
        <w:t xml:space="preserve">Asunto: </w:t>
      </w:r>
      <w:r w:rsidRPr="00883AFD">
        <w:rPr>
          <w:rFonts w:asciiTheme="majorHAnsi" w:hAnsiTheme="majorHAnsi"/>
          <w:sz w:val="24"/>
        </w:rPr>
        <w:t>“</w:t>
      </w:r>
      <w:r w:rsidRPr="00883AFD">
        <w:rPr>
          <w:rFonts w:asciiTheme="majorHAnsi" w:hAnsiTheme="majorHAnsi"/>
          <w:i/>
          <w:sz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883AFD">
        <w:rPr>
          <w:rFonts w:asciiTheme="majorHAnsi" w:hAnsiTheme="majorHAnsi"/>
          <w:sz w:val="24"/>
        </w:rPr>
        <w:t xml:space="preserve">, Acuerdo SUGEF 11-18. </w:t>
      </w:r>
    </w:p>
    <w:p w:rsidRPr="00883AFD" w:rsidR="007A3CAC" w:rsidP="007A3CAC" w:rsidRDefault="007A3CAC" w14:paraId="578DABF4" w14:textId="77777777">
      <w:pPr>
        <w:rPr>
          <w:rFonts w:asciiTheme="majorHAnsi" w:hAnsiTheme="majorHAnsi"/>
          <w:sz w:val="24"/>
        </w:rPr>
      </w:pPr>
    </w:p>
    <w:p w:rsidRPr="00883AFD" w:rsidR="00612DC3" w:rsidP="00612DC3" w:rsidRDefault="00612DC3" w14:paraId="5F54C471" w14:textId="3564A220">
      <w:pPr>
        <w:contextualSpacing/>
        <w:rPr>
          <w:rFonts w:asciiTheme="majorHAnsi" w:hAnsiTheme="majorHAnsi"/>
          <w:sz w:val="24"/>
          <w:lang w:val="es-CR"/>
        </w:rPr>
      </w:pPr>
      <w:r w:rsidRPr="00883AFD">
        <w:rPr>
          <w:rFonts w:asciiTheme="majorHAnsi" w:hAnsiTheme="majorHAnsi"/>
          <w:sz w:val="24"/>
          <w:lang w:val="es-CR"/>
        </w:rPr>
        <w:t xml:space="preserve">El Despacho del Superintendente de la Superintendencia General de Entidades Financieras (SUGEF), con fundamento en las atribuciones que le confiere el artículo 131 de la Ley Orgánica del Banco Central de Costa Rica, </w:t>
      </w:r>
      <w:r w:rsidR="00785C13">
        <w:rPr>
          <w:rFonts w:asciiTheme="majorHAnsi" w:hAnsiTheme="majorHAnsi"/>
          <w:sz w:val="24"/>
          <w:lang w:val="es-CR"/>
        </w:rPr>
        <w:t xml:space="preserve">así como los artículos 15 y 15 Bis de la Ley 7786, </w:t>
      </w:r>
      <w:r w:rsidRPr="00883AFD">
        <w:rPr>
          <w:rFonts w:asciiTheme="majorHAnsi" w:hAnsiTheme="majorHAnsi"/>
          <w:sz w:val="24"/>
          <w:lang w:val="es-CR"/>
        </w:rPr>
        <w:t>comunica:</w:t>
      </w:r>
    </w:p>
    <w:p w:rsidRPr="00883AFD" w:rsidR="00612DC3" w:rsidP="00612DC3" w:rsidRDefault="00612DC3" w14:paraId="5201044F" w14:textId="77777777">
      <w:pPr>
        <w:tabs>
          <w:tab w:val="left" w:pos="2843"/>
        </w:tabs>
        <w:contextualSpacing/>
        <w:rPr>
          <w:rFonts w:asciiTheme="majorHAnsi" w:hAnsiTheme="majorHAnsi"/>
          <w:sz w:val="24"/>
        </w:rPr>
      </w:pPr>
    </w:p>
    <w:p w:rsidRPr="00883AFD" w:rsidR="00612DC3" w:rsidP="00612DC3" w:rsidRDefault="00612DC3" w14:paraId="0C0F1BB3" w14:textId="77777777">
      <w:pPr>
        <w:tabs>
          <w:tab w:val="left" w:pos="2843"/>
        </w:tabs>
        <w:contextualSpacing/>
        <w:rPr>
          <w:rFonts w:asciiTheme="majorHAnsi" w:hAnsiTheme="majorHAnsi"/>
          <w:b/>
          <w:sz w:val="24"/>
        </w:rPr>
      </w:pPr>
      <w:r w:rsidRPr="00883AFD">
        <w:rPr>
          <w:rFonts w:asciiTheme="majorHAnsi" w:hAnsiTheme="majorHAnsi"/>
          <w:b/>
          <w:sz w:val="24"/>
        </w:rPr>
        <w:t>Considerando:</w:t>
      </w:r>
    </w:p>
    <w:p w:rsidRPr="00883AFD" w:rsidR="00612DC3" w:rsidP="00612DC3" w:rsidRDefault="00612DC3" w14:paraId="3AA66311" w14:textId="77777777">
      <w:pPr>
        <w:tabs>
          <w:tab w:val="left" w:pos="6990"/>
        </w:tabs>
        <w:contextualSpacing/>
        <w:rPr>
          <w:rFonts w:asciiTheme="majorHAnsi" w:hAnsiTheme="majorHAnsi"/>
          <w:sz w:val="24"/>
        </w:rPr>
      </w:pPr>
      <w:r w:rsidRPr="00883AFD">
        <w:rPr>
          <w:rFonts w:asciiTheme="majorHAnsi" w:hAnsiTheme="majorHAnsi"/>
          <w:sz w:val="24"/>
        </w:rPr>
        <w:tab/>
      </w:r>
    </w:p>
    <w:p w:rsidRPr="00883AFD" w:rsidR="00612DC3" w:rsidP="00612DC3" w:rsidRDefault="00612DC3" w14:paraId="1C335021" w14:textId="77777777">
      <w:pPr>
        <w:numPr>
          <w:ilvl w:val="0"/>
          <w:numId w:val="14"/>
        </w:numPr>
        <w:spacing w:line="240" w:lineRule="auto"/>
        <w:contextualSpacing/>
        <w:rPr>
          <w:rFonts w:asciiTheme="majorHAnsi" w:hAnsiTheme="majorHAnsi"/>
          <w:sz w:val="24"/>
        </w:rPr>
      </w:pPr>
      <w:r w:rsidRPr="00883AFD">
        <w:rPr>
          <w:rFonts w:asciiTheme="majorHAnsi" w:hAnsiTheme="majorHAnsi"/>
          <w:sz w:val="24"/>
        </w:rPr>
        <w:t xml:space="preserve">Que mediante la Ley N° 9449 del 10 de mayo del 2017, la Asamblea Legislativa decretó la </w:t>
      </w:r>
      <w:r w:rsidRPr="00883AFD">
        <w:rPr>
          <w:rFonts w:asciiTheme="majorHAnsi" w:hAnsiTheme="majorHAnsi"/>
          <w:i/>
          <w:sz w:val="24"/>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sidRPr="00883AFD">
        <w:rPr>
          <w:rFonts w:asciiTheme="majorHAnsi" w:hAnsiTheme="majorHAnsi"/>
          <w:sz w:val="24"/>
        </w:rPr>
        <w:t>.</w:t>
      </w:r>
    </w:p>
    <w:p w:rsidRPr="00883AFD" w:rsidR="00612DC3" w:rsidP="00612DC3" w:rsidRDefault="00612DC3" w14:paraId="7795CA5E" w14:textId="77777777">
      <w:pPr>
        <w:ind w:left="360"/>
        <w:contextualSpacing/>
        <w:rPr>
          <w:rFonts w:asciiTheme="majorHAnsi" w:hAnsiTheme="majorHAnsi"/>
          <w:sz w:val="24"/>
        </w:rPr>
      </w:pPr>
    </w:p>
    <w:p w:rsidRPr="00883AFD" w:rsidR="00612DC3" w:rsidP="00612DC3" w:rsidRDefault="00612DC3" w14:paraId="488163D2" w14:textId="2285A43D">
      <w:pPr>
        <w:numPr>
          <w:ilvl w:val="0"/>
          <w:numId w:val="14"/>
        </w:numPr>
        <w:spacing w:line="240" w:lineRule="auto"/>
        <w:contextualSpacing/>
        <w:rPr>
          <w:rFonts w:asciiTheme="majorHAnsi" w:hAnsiTheme="majorHAnsi"/>
          <w:i/>
          <w:sz w:val="24"/>
        </w:rPr>
      </w:pPr>
      <w:r w:rsidRPr="00883AFD">
        <w:rPr>
          <w:rFonts w:asciiTheme="majorHAnsi" w:hAnsiTheme="majorHAnsi"/>
          <w:sz w:val="24"/>
        </w:rPr>
        <w:t xml:space="preserve">Que el artículo 15 bis de la Ley N° 7786 y sus reformas dispone que las personas físicas o jurídicas que desarrollen </w:t>
      </w:r>
      <w:r w:rsidR="00361EF4">
        <w:rPr>
          <w:rFonts w:asciiTheme="majorHAnsi" w:hAnsiTheme="majorHAnsi"/>
          <w:sz w:val="24"/>
        </w:rPr>
        <w:t xml:space="preserve">las </w:t>
      </w:r>
      <w:r w:rsidRPr="00883AFD">
        <w:rPr>
          <w:rFonts w:asciiTheme="majorHAnsi" w:hAnsiTheme="majorHAnsi"/>
          <w:sz w:val="24"/>
        </w:rPr>
        <w:t xml:space="preserve">Actividades y Profesiones no Financieras Designadas (APNFDs), </w:t>
      </w:r>
      <w:r w:rsidRPr="00883AFD">
        <w:rPr>
          <w:rFonts w:asciiTheme="majorHAnsi" w:hAnsiTheme="majorHAnsi"/>
          <w:i/>
          <w:sz w:val="24"/>
        </w:rPr>
        <w:t>“…deberán cumplir las mismas obligaciones establecidas en los incisos del a) al i) del artículo 15, conforme al alcance que sea compatible de acuerdo con su respectiva naturaleza, incluyendo el deber de inscripción ante la Superintendencia General de Entidades Financieras (Sugef), sin que por ello se interprete que están autorizadas para operar, y deberán someterse a la supervisión de esta Superintendencia, respecto de la materia de prevención de la legitimación de capitales, el financiamiento al terrorismo y el financiamiento de la proliferación de armas de destrucción masiva, bajo un enfoque basado en riesgos que establezca el Consejo Nacional de Supervisión del Sistema Financiero (Conassif) mediante normativa prudencial, incluyendo el régimen sancionatorio establecido en el artículo 81 de la presente ley…”</w:t>
      </w:r>
    </w:p>
    <w:p w:rsidRPr="00883AFD" w:rsidR="00612DC3" w:rsidP="00612DC3" w:rsidRDefault="00612DC3" w14:paraId="26DF49E1" w14:textId="77777777">
      <w:pPr>
        <w:contextualSpacing/>
        <w:rPr>
          <w:rFonts w:asciiTheme="majorHAnsi" w:hAnsiTheme="majorHAnsi"/>
          <w:sz w:val="24"/>
        </w:rPr>
      </w:pPr>
    </w:p>
    <w:p w:rsidRPr="00883AFD" w:rsidR="00612DC3" w:rsidP="00612DC3" w:rsidRDefault="00612DC3" w14:paraId="5F22075E" w14:textId="5F7E58C3">
      <w:pPr>
        <w:pStyle w:val="Prrafodelista"/>
        <w:numPr>
          <w:ilvl w:val="0"/>
          <w:numId w:val="14"/>
        </w:numPr>
        <w:jc w:val="both"/>
        <w:rPr>
          <w:rFonts w:asciiTheme="majorHAnsi" w:hAnsiTheme="majorHAnsi"/>
          <w:b/>
        </w:rPr>
      </w:pPr>
      <w:r w:rsidRPr="00883AFD">
        <w:rPr>
          <w:rFonts w:asciiTheme="majorHAnsi" w:hAnsiTheme="majorHAnsi"/>
        </w:rPr>
        <w:t>El Consejo Nacional de Supervisión del Sistema Financiero, mediante el artículo 9 del acta de la sesión 1450</w:t>
      </w:r>
      <w:r w:rsidRPr="00883AFD" w:rsidR="00552C13">
        <w:rPr>
          <w:rFonts w:asciiTheme="majorHAnsi" w:hAnsiTheme="majorHAnsi"/>
        </w:rPr>
        <w:t>-2018</w:t>
      </w:r>
      <w:r w:rsidRPr="00883AFD" w:rsidR="00981B0F">
        <w:rPr>
          <w:rFonts w:asciiTheme="majorHAnsi" w:hAnsiTheme="majorHAnsi"/>
        </w:rPr>
        <w:t xml:space="preserve"> celebrada el </w:t>
      </w:r>
      <w:r w:rsidRPr="00883AFD">
        <w:rPr>
          <w:rFonts w:asciiTheme="majorHAnsi" w:hAnsiTheme="majorHAnsi"/>
        </w:rPr>
        <w:t>8 de octubre de 2018, aprobó el “</w:t>
      </w:r>
      <w:r w:rsidRPr="00883AFD">
        <w:rPr>
          <w:rFonts w:asciiTheme="majorHAnsi" w:hAnsiTheme="majorHAnsi"/>
          <w:i/>
        </w:rPr>
        <w:t xml:space="preserve">Reglamento </w:t>
      </w:r>
      <w:r w:rsidRPr="00883AFD">
        <w:rPr>
          <w:rFonts w:asciiTheme="majorHAnsi" w:hAnsiTheme="majorHAnsi"/>
          <w:i/>
        </w:rPr>
        <w:lastRenderedPageBreak/>
        <w:t>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883AFD">
        <w:rPr>
          <w:rFonts w:asciiTheme="majorHAnsi" w:hAnsiTheme="majorHAnsi"/>
        </w:rPr>
        <w:t xml:space="preserve">, Acuerdo SUGEF 11-18. </w:t>
      </w:r>
    </w:p>
    <w:p w:rsidRPr="00883AFD" w:rsidR="00612DC3" w:rsidP="00612DC3" w:rsidRDefault="00612DC3" w14:paraId="378177B1" w14:textId="77777777">
      <w:pPr>
        <w:pStyle w:val="Prrafodelista"/>
        <w:ind w:left="360"/>
        <w:jc w:val="both"/>
        <w:rPr>
          <w:rFonts w:asciiTheme="majorHAnsi" w:hAnsiTheme="majorHAnsi"/>
          <w:b/>
        </w:rPr>
      </w:pPr>
    </w:p>
    <w:p w:rsidRPr="00883AFD" w:rsidR="00612DC3" w:rsidP="00612DC3" w:rsidRDefault="00612DC3" w14:paraId="7CD99345" w14:textId="4EA1BEFD">
      <w:pPr>
        <w:pStyle w:val="Prrafodelista"/>
        <w:numPr>
          <w:ilvl w:val="0"/>
          <w:numId w:val="14"/>
        </w:numPr>
        <w:contextualSpacing/>
        <w:jc w:val="both"/>
        <w:outlineLvl w:val="0"/>
        <w:rPr>
          <w:rFonts w:asciiTheme="majorHAnsi" w:hAnsiTheme="majorHAnsi"/>
        </w:rPr>
      </w:pPr>
      <w:r w:rsidRPr="00883AFD">
        <w:rPr>
          <w:rFonts w:asciiTheme="majorHAnsi" w:hAnsiTheme="majorHAnsi"/>
        </w:rPr>
        <w:t xml:space="preserve">El Acuerdo SUGEF 11-18 establece </w:t>
      </w:r>
      <w:r w:rsidR="008D198F">
        <w:rPr>
          <w:rFonts w:asciiTheme="majorHAnsi" w:hAnsiTheme="majorHAnsi"/>
        </w:rPr>
        <w:t xml:space="preserve">en los artículos 6 y 7, </w:t>
      </w:r>
      <w:r w:rsidRPr="00883AFD">
        <w:rPr>
          <w:rFonts w:asciiTheme="majorHAnsi" w:hAnsiTheme="majorHAnsi"/>
        </w:rPr>
        <w:t>l</w:t>
      </w:r>
      <w:r w:rsidRPr="00883AFD" w:rsidR="00552C13">
        <w:rPr>
          <w:rFonts w:asciiTheme="majorHAnsi" w:hAnsiTheme="majorHAnsi"/>
        </w:rPr>
        <w:t>os requisitos</w:t>
      </w:r>
      <w:r w:rsidRPr="00883AFD">
        <w:rPr>
          <w:rFonts w:asciiTheme="majorHAnsi" w:hAnsiTheme="majorHAnsi"/>
        </w:rPr>
        <w:t xml:space="preserve"> de información y documentación para realizar el proceso de inscripción.</w:t>
      </w:r>
    </w:p>
    <w:p w:rsidRPr="00883AFD" w:rsidR="00612DC3" w:rsidP="00612DC3" w:rsidRDefault="00612DC3" w14:paraId="41F3B354" w14:textId="77777777">
      <w:pPr>
        <w:pStyle w:val="Prrafodelista"/>
        <w:rPr>
          <w:rFonts w:asciiTheme="majorHAnsi" w:hAnsiTheme="majorHAnsi"/>
        </w:rPr>
      </w:pPr>
    </w:p>
    <w:p w:rsidRPr="00883AFD" w:rsidR="00612DC3" w:rsidP="00612DC3" w:rsidRDefault="00612DC3" w14:paraId="3D3381B2" w14:textId="77777777">
      <w:pPr>
        <w:pStyle w:val="Prrafodelista"/>
        <w:numPr>
          <w:ilvl w:val="0"/>
          <w:numId w:val="14"/>
        </w:numPr>
        <w:contextualSpacing/>
        <w:jc w:val="both"/>
        <w:outlineLvl w:val="0"/>
        <w:rPr>
          <w:rFonts w:asciiTheme="majorHAnsi" w:hAnsiTheme="majorHAnsi"/>
        </w:rPr>
      </w:pPr>
      <w:r w:rsidRPr="00883AFD">
        <w:rPr>
          <w:rFonts w:asciiTheme="majorHAnsi" w:hAnsiTheme="majorHAnsi"/>
        </w:rPr>
        <w:t>El Acuerdo SUGEF 11-18 establece en el artículo 23 que las entidades financieras no podrán prestar el servicio a los clientes que realicen actividades descritas en los artículos 15 y 15 bis de la Ley 7786, mientras estos no se encuentren inscritos.</w:t>
      </w:r>
    </w:p>
    <w:p w:rsidRPr="00883AFD" w:rsidR="00612DC3" w:rsidP="00612DC3" w:rsidRDefault="00612DC3" w14:paraId="7C035DE1" w14:textId="77777777">
      <w:pPr>
        <w:pStyle w:val="Prrafodelista"/>
        <w:ind w:left="360"/>
        <w:contextualSpacing/>
        <w:jc w:val="both"/>
        <w:outlineLvl w:val="0"/>
        <w:rPr>
          <w:rFonts w:asciiTheme="majorHAnsi" w:hAnsiTheme="majorHAnsi"/>
        </w:rPr>
      </w:pPr>
    </w:p>
    <w:p w:rsidRPr="00883AFD" w:rsidR="00612DC3" w:rsidP="00612DC3" w:rsidRDefault="00612DC3" w14:paraId="2835873D" w14:textId="7D054580">
      <w:pPr>
        <w:pStyle w:val="Prrafodelista"/>
        <w:numPr>
          <w:ilvl w:val="0"/>
          <w:numId w:val="14"/>
        </w:numPr>
        <w:contextualSpacing/>
        <w:jc w:val="both"/>
        <w:outlineLvl w:val="0"/>
        <w:rPr>
          <w:rFonts w:asciiTheme="majorHAnsi" w:hAnsiTheme="majorHAnsi"/>
        </w:rPr>
      </w:pPr>
      <w:r w:rsidRPr="00883AFD">
        <w:rPr>
          <w:rFonts w:asciiTheme="majorHAnsi" w:hAnsiTheme="majorHAnsi"/>
        </w:rPr>
        <w:t xml:space="preserve">El  Acuerdo SUGEF 11-18 establece en el artículo 21 que los sujetos obligados deben mantener a su nombre, cuentas, productos o servicios, con entidades financieras supervisadas por alguna Superintendencia adscrita al CONASSIF, </w:t>
      </w:r>
      <w:r w:rsidRPr="00883AFD">
        <w:rPr>
          <w:rFonts w:asciiTheme="majorHAnsi" w:hAnsiTheme="majorHAnsi"/>
          <w:u w:val="single"/>
        </w:rPr>
        <w:t>y utilizarlas de manera exclusiva para la(s) actividad(</w:t>
      </w:r>
      <w:r w:rsidR="005B7306">
        <w:rPr>
          <w:rFonts w:asciiTheme="majorHAnsi" w:hAnsiTheme="majorHAnsi"/>
          <w:u w:val="single"/>
        </w:rPr>
        <w:t>e</w:t>
      </w:r>
      <w:r w:rsidRPr="00883AFD">
        <w:rPr>
          <w:rFonts w:asciiTheme="majorHAnsi" w:hAnsiTheme="majorHAnsi"/>
          <w:u w:val="single"/>
        </w:rPr>
        <w:t>s) sujeta(s) a inscripción</w:t>
      </w:r>
      <w:r w:rsidRPr="00883AFD">
        <w:rPr>
          <w:rFonts w:asciiTheme="majorHAnsi" w:hAnsiTheme="majorHAnsi"/>
        </w:rPr>
        <w:t>.</w:t>
      </w:r>
    </w:p>
    <w:p w:rsidRPr="00883AFD" w:rsidR="00612DC3" w:rsidP="00612DC3" w:rsidRDefault="00612DC3" w14:paraId="2891E470" w14:textId="77777777">
      <w:pPr>
        <w:pStyle w:val="Prrafodelista"/>
        <w:ind w:left="360"/>
        <w:jc w:val="both"/>
        <w:rPr>
          <w:rFonts w:asciiTheme="majorHAnsi" w:hAnsiTheme="majorHAnsi"/>
          <w:b/>
        </w:rPr>
      </w:pPr>
    </w:p>
    <w:p w:rsidRPr="00883AFD" w:rsidR="00612DC3" w:rsidP="00612DC3" w:rsidRDefault="00612DC3" w14:paraId="7FF555C7" w14:textId="77777777">
      <w:pPr>
        <w:pStyle w:val="Prrafodelista"/>
        <w:numPr>
          <w:ilvl w:val="0"/>
          <w:numId w:val="14"/>
        </w:numPr>
        <w:contextualSpacing/>
        <w:jc w:val="both"/>
        <w:outlineLvl w:val="0"/>
        <w:rPr>
          <w:rFonts w:asciiTheme="majorHAnsi" w:hAnsiTheme="majorHAnsi"/>
        </w:rPr>
      </w:pPr>
      <w:r w:rsidRPr="00883AFD">
        <w:rPr>
          <w:rFonts w:asciiTheme="majorHAnsi" w:hAnsiTheme="majorHAnsi"/>
        </w:rPr>
        <w:t xml:space="preserve">El Acuerdo SUGEF 11-18 establece en el Transitorio Segundo: </w:t>
      </w:r>
      <w:r w:rsidRPr="00883AFD">
        <w:rPr>
          <w:rFonts w:asciiTheme="majorHAnsi" w:hAnsiTheme="majorHAnsi"/>
          <w:i/>
        </w:rPr>
        <w:t>“Los sujetos obligados a los que se refieren los artículos 15 y 15 bis de la Ley 7786, que a la entrada en vigencia de este Reglamento mantienen relaciones comerciales con las entidades financieras y que no se encuentran inscritos ante la SUGEF</w:t>
      </w:r>
      <w:r w:rsidRPr="00883AFD">
        <w:rPr>
          <w:rFonts w:asciiTheme="majorHAnsi" w:hAnsiTheme="majorHAnsi"/>
          <w:i/>
          <w:u w:val="single"/>
        </w:rPr>
        <w:t>, deberán tramitar su inscripción en un plazo máximo de seis meses a partir de la entrada en vigencia de este Reglamento”</w:t>
      </w:r>
      <w:r w:rsidRPr="00883AFD">
        <w:rPr>
          <w:rFonts w:asciiTheme="majorHAnsi" w:hAnsiTheme="majorHAnsi"/>
          <w:i/>
        </w:rPr>
        <w:t xml:space="preserve">. </w:t>
      </w:r>
      <w:r w:rsidRPr="00883AFD">
        <w:rPr>
          <w:rFonts w:asciiTheme="majorHAnsi" w:hAnsiTheme="majorHAnsi"/>
        </w:rPr>
        <w:t>El destacado no es del original.</w:t>
      </w:r>
    </w:p>
    <w:p w:rsidRPr="00883AFD" w:rsidR="00612DC3" w:rsidP="00612DC3" w:rsidRDefault="00612DC3" w14:paraId="01E8C33C" w14:textId="77777777">
      <w:pPr>
        <w:contextualSpacing/>
        <w:rPr>
          <w:rFonts w:asciiTheme="majorHAnsi" w:hAnsiTheme="majorHAnsi"/>
          <w:b/>
          <w:sz w:val="24"/>
        </w:rPr>
      </w:pPr>
    </w:p>
    <w:p w:rsidRPr="00883AFD" w:rsidR="00612DC3" w:rsidP="00612DC3" w:rsidRDefault="00612DC3" w14:paraId="599685B9" w14:textId="77777777">
      <w:pPr>
        <w:contextualSpacing/>
        <w:rPr>
          <w:rFonts w:asciiTheme="majorHAnsi" w:hAnsiTheme="majorHAnsi"/>
          <w:b/>
          <w:sz w:val="24"/>
        </w:rPr>
      </w:pPr>
      <w:r w:rsidRPr="00883AFD">
        <w:rPr>
          <w:rFonts w:asciiTheme="majorHAnsi" w:hAnsiTheme="majorHAnsi"/>
          <w:b/>
          <w:sz w:val="24"/>
        </w:rPr>
        <w:t>Dispone que:</w:t>
      </w:r>
    </w:p>
    <w:p w:rsidRPr="00883AFD" w:rsidR="00612DC3" w:rsidP="00612DC3" w:rsidRDefault="00612DC3" w14:paraId="7E94FB7F" w14:textId="77777777">
      <w:pPr>
        <w:contextualSpacing/>
        <w:rPr>
          <w:rFonts w:asciiTheme="majorHAnsi" w:hAnsiTheme="majorHAnsi"/>
          <w:b/>
          <w:sz w:val="24"/>
        </w:rPr>
      </w:pPr>
    </w:p>
    <w:p w:rsidRPr="00883AFD" w:rsidR="00612DC3" w:rsidP="00612DC3" w:rsidRDefault="00612DC3" w14:paraId="3481408E" w14:textId="0862A5ED">
      <w:pPr>
        <w:pStyle w:val="Prrafodelista"/>
        <w:numPr>
          <w:ilvl w:val="0"/>
          <w:numId w:val="15"/>
        </w:numPr>
        <w:ind w:left="426"/>
        <w:contextualSpacing/>
        <w:jc w:val="both"/>
        <w:outlineLvl w:val="0"/>
        <w:rPr>
          <w:rFonts w:asciiTheme="majorHAnsi" w:hAnsiTheme="majorHAnsi"/>
        </w:rPr>
      </w:pPr>
      <w:r w:rsidRPr="00883AFD">
        <w:rPr>
          <w:rFonts w:asciiTheme="majorHAnsi" w:hAnsiTheme="majorHAnsi"/>
        </w:rPr>
        <w:t xml:space="preserve">Según lo dicta el transitorio segundo del Acuerdo SUGEF 11-18, los sujetos obligados por el artículo 15 bis de la Ley 7786, así como los emisores y operadores de tarjetas de crédito según se dispone en el literal f) del artículo 15 de la ley 7786, que actualmente mantienen relaciones comerciales con entidades financieras, cuentan con un plazo máximo de seis meses a partir </w:t>
      </w:r>
      <w:r w:rsidRPr="00883AFD" w:rsidR="00922CD9">
        <w:rPr>
          <w:rFonts w:asciiTheme="majorHAnsi" w:hAnsiTheme="majorHAnsi"/>
        </w:rPr>
        <w:t>del 1º de enero de 2019</w:t>
      </w:r>
      <w:r w:rsidRPr="00883AFD">
        <w:rPr>
          <w:rFonts w:asciiTheme="majorHAnsi" w:hAnsiTheme="majorHAnsi"/>
        </w:rPr>
        <w:t xml:space="preserve"> para realizar la inscripción ante la SUGEF. Al respecto, se considera conveniente, efectuar el proceso de inscripción en forma paulatina, según el siguiente orden:</w:t>
      </w:r>
    </w:p>
    <w:p w:rsidRPr="00883AFD" w:rsidR="00612DC3" w:rsidP="00612DC3" w:rsidRDefault="00612DC3" w14:paraId="5D966685" w14:textId="77777777">
      <w:pPr>
        <w:pStyle w:val="Prrafodelista"/>
        <w:ind w:left="426"/>
        <w:contextualSpacing/>
        <w:jc w:val="both"/>
        <w:outlineLvl w:val="0"/>
        <w:rPr>
          <w:rFonts w:asciiTheme="majorHAnsi" w:hAnsiTheme="majorHAnsi"/>
        </w:rPr>
      </w:pPr>
    </w:p>
    <w:tbl>
      <w:tblPr>
        <w:tblStyle w:val="Tablaconcuadrcula"/>
        <w:tblW w:w="0" w:type="auto"/>
        <w:tblInd w:w="421" w:type="dxa"/>
        <w:tblLook w:val="04A0" w:firstRow="1" w:lastRow="0" w:firstColumn="1" w:lastColumn="0" w:noHBand="0" w:noVBand="1"/>
      </w:tblPr>
      <w:tblGrid>
        <w:gridCol w:w="5386"/>
        <w:gridCol w:w="2687"/>
      </w:tblGrid>
      <w:tr w:rsidRPr="00576F91" w:rsidR="00612DC3" w:rsidTr="00912B64" w14:paraId="6F569897" w14:textId="77777777">
        <w:trPr>
          <w:tblHeader/>
        </w:trPr>
        <w:tc>
          <w:tcPr>
            <w:tcW w:w="5386" w:type="dxa"/>
          </w:tcPr>
          <w:p w:rsidRPr="00576F91" w:rsidR="00612DC3" w:rsidP="00912B64" w:rsidRDefault="00612DC3" w14:paraId="6DE7DB79" w14:textId="77777777">
            <w:pPr>
              <w:contextualSpacing/>
              <w:jc w:val="center"/>
              <w:outlineLvl w:val="0"/>
              <w:rPr>
                <w:rFonts w:asciiTheme="majorHAnsi" w:hAnsiTheme="majorHAnsi"/>
                <w:b/>
              </w:rPr>
            </w:pPr>
            <w:r w:rsidRPr="00576F91">
              <w:rPr>
                <w:rFonts w:asciiTheme="majorHAnsi" w:hAnsiTheme="majorHAnsi"/>
                <w:b/>
              </w:rPr>
              <w:t>Actividad</w:t>
            </w:r>
          </w:p>
        </w:tc>
        <w:tc>
          <w:tcPr>
            <w:tcW w:w="2687" w:type="dxa"/>
          </w:tcPr>
          <w:p w:rsidRPr="00576F91" w:rsidR="00612DC3" w:rsidP="00912B64" w:rsidRDefault="00612DC3" w14:paraId="72DBA505" w14:textId="32BC9E76">
            <w:pPr>
              <w:contextualSpacing/>
              <w:jc w:val="center"/>
              <w:outlineLvl w:val="0"/>
              <w:rPr>
                <w:rFonts w:asciiTheme="majorHAnsi" w:hAnsiTheme="majorHAnsi"/>
                <w:b/>
              </w:rPr>
            </w:pPr>
            <w:r w:rsidRPr="00576F91">
              <w:rPr>
                <w:rFonts w:asciiTheme="majorHAnsi" w:hAnsiTheme="majorHAnsi"/>
                <w:b/>
              </w:rPr>
              <w:t>Inscripción</w:t>
            </w:r>
            <w:r w:rsidRPr="00576F91" w:rsidR="00B3346F">
              <w:rPr>
                <w:rFonts w:asciiTheme="majorHAnsi" w:hAnsiTheme="majorHAnsi"/>
                <w:b/>
              </w:rPr>
              <w:t xml:space="preserve"> a partir de:</w:t>
            </w:r>
          </w:p>
        </w:tc>
      </w:tr>
      <w:tr w:rsidRPr="00576F91" w:rsidR="00612DC3" w:rsidTr="00912B64" w14:paraId="08B776B6" w14:textId="77777777">
        <w:tc>
          <w:tcPr>
            <w:tcW w:w="5386" w:type="dxa"/>
            <w:shd w:val="clear" w:color="auto" w:fill="auto"/>
          </w:tcPr>
          <w:p w:rsidRPr="00576F91" w:rsidR="002E57B4" w:rsidP="002E57B4" w:rsidRDefault="00410CEE" w14:paraId="32CB5804" w14:textId="3DFC4F6B">
            <w:pPr>
              <w:pStyle w:val="Prrafodelista"/>
              <w:numPr>
                <w:ilvl w:val="0"/>
                <w:numId w:val="16"/>
              </w:numPr>
              <w:contextualSpacing/>
              <w:jc w:val="both"/>
              <w:outlineLvl w:val="0"/>
              <w:rPr>
                <w:rFonts w:asciiTheme="majorHAnsi" w:hAnsiTheme="majorHAnsi"/>
              </w:rPr>
            </w:pPr>
            <w:r w:rsidRPr="00576F91">
              <w:rPr>
                <w:rFonts w:asciiTheme="majorHAnsi" w:hAnsiTheme="majorHAnsi"/>
              </w:rPr>
              <w:t xml:space="preserve">Emisores y operadores de tarjetas de crédito según se dispone </w:t>
            </w:r>
            <w:r w:rsidRPr="00576F91" w:rsidR="002E57B4">
              <w:rPr>
                <w:rFonts w:asciiTheme="majorHAnsi" w:hAnsiTheme="majorHAnsi"/>
              </w:rPr>
              <w:t xml:space="preserve">en el literal f) del artículo 4 del Acuerdo SUGEF 11-18. </w:t>
            </w:r>
          </w:p>
          <w:p w:rsidRPr="00576F91" w:rsidR="00612DC3" w:rsidP="002E57B4" w:rsidRDefault="00612DC3" w14:paraId="6828C8B9" w14:textId="137F9E08">
            <w:pPr>
              <w:pStyle w:val="Prrafodelista"/>
              <w:numPr>
                <w:ilvl w:val="0"/>
                <w:numId w:val="16"/>
              </w:numPr>
              <w:contextualSpacing/>
              <w:jc w:val="both"/>
              <w:outlineLvl w:val="0"/>
              <w:rPr>
                <w:rFonts w:asciiTheme="majorHAnsi" w:hAnsiTheme="majorHAnsi"/>
              </w:rPr>
            </w:pPr>
            <w:r w:rsidRPr="00576F91">
              <w:rPr>
                <w:rFonts w:asciiTheme="majorHAnsi" w:hAnsiTheme="majorHAnsi"/>
              </w:rPr>
              <w:t xml:space="preserve">Comerciantes de metales y piedras preciosas y casas de empeño, según se dispone </w:t>
            </w:r>
            <w:r w:rsidRPr="00576F91">
              <w:rPr>
                <w:rFonts w:asciiTheme="majorHAnsi" w:hAnsiTheme="majorHAnsi"/>
              </w:rPr>
              <w:lastRenderedPageBreak/>
              <w:t>respectivamente en los literales c) y h) del artículo 5 del Acuerdo SUGEF 11-18.</w:t>
            </w:r>
          </w:p>
        </w:tc>
        <w:tc>
          <w:tcPr>
            <w:tcW w:w="2687" w:type="dxa"/>
          </w:tcPr>
          <w:p w:rsidRPr="00576F91" w:rsidR="00612DC3" w:rsidP="00912B64" w:rsidRDefault="00612DC3" w14:paraId="7FA94263" w14:textId="77777777">
            <w:pPr>
              <w:contextualSpacing/>
              <w:jc w:val="center"/>
              <w:outlineLvl w:val="0"/>
              <w:rPr>
                <w:rFonts w:asciiTheme="majorHAnsi" w:hAnsiTheme="majorHAnsi"/>
              </w:rPr>
            </w:pPr>
          </w:p>
          <w:p w:rsidRPr="00576F91" w:rsidR="00612DC3" w:rsidP="00912B64" w:rsidRDefault="00612DC3" w14:paraId="1B64C05C" w14:textId="77777777">
            <w:pPr>
              <w:contextualSpacing/>
              <w:jc w:val="center"/>
              <w:outlineLvl w:val="0"/>
              <w:rPr>
                <w:rFonts w:asciiTheme="majorHAnsi" w:hAnsiTheme="majorHAnsi"/>
              </w:rPr>
            </w:pPr>
          </w:p>
          <w:p w:rsidRPr="00576F91" w:rsidR="00200172" w:rsidP="00912B64" w:rsidRDefault="00200172" w14:paraId="29081D87" w14:textId="77777777">
            <w:pPr>
              <w:contextualSpacing/>
              <w:jc w:val="center"/>
              <w:outlineLvl w:val="0"/>
              <w:rPr>
                <w:rFonts w:asciiTheme="majorHAnsi" w:hAnsiTheme="majorHAnsi"/>
              </w:rPr>
            </w:pPr>
          </w:p>
          <w:p w:rsidRPr="00576F91" w:rsidR="00612DC3" w:rsidP="00912B64" w:rsidRDefault="00612DC3" w14:paraId="03344E96" w14:textId="77777777">
            <w:pPr>
              <w:contextualSpacing/>
              <w:jc w:val="center"/>
              <w:outlineLvl w:val="0"/>
              <w:rPr>
                <w:rFonts w:asciiTheme="majorHAnsi" w:hAnsiTheme="majorHAnsi"/>
              </w:rPr>
            </w:pPr>
            <w:r w:rsidRPr="00576F91">
              <w:rPr>
                <w:rFonts w:asciiTheme="majorHAnsi" w:hAnsiTheme="majorHAnsi"/>
              </w:rPr>
              <w:t>Enero 2019</w:t>
            </w:r>
          </w:p>
        </w:tc>
      </w:tr>
      <w:tr w:rsidRPr="00576F91" w:rsidR="00612DC3" w:rsidTr="00912B64" w14:paraId="75D9CB94" w14:textId="77777777">
        <w:tc>
          <w:tcPr>
            <w:tcW w:w="5386" w:type="dxa"/>
          </w:tcPr>
          <w:p w:rsidRPr="00576F91" w:rsidR="00200172" w:rsidP="004608D8" w:rsidRDefault="004608D8" w14:paraId="6A467115" w14:textId="3DD5728D">
            <w:pPr>
              <w:pStyle w:val="Prrafodelista"/>
              <w:numPr>
                <w:ilvl w:val="0"/>
                <w:numId w:val="16"/>
              </w:numPr>
              <w:contextualSpacing/>
              <w:jc w:val="both"/>
              <w:outlineLvl w:val="0"/>
              <w:rPr>
                <w:rFonts w:asciiTheme="majorHAnsi" w:hAnsiTheme="majorHAnsi"/>
              </w:rPr>
            </w:pPr>
            <w:r w:rsidRPr="00576F91">
              <w:rPr>
                <w:rFonts w:asciiTheme="majorHAnsi" w:hAnsiTheme="majorHAnsi"/>
              </w:rPr>
              <w:lastRenderedPageBreak/>
              <w:t xml:space="preserve">Contadores, </w:t>
            </w:r>
            <w:r w:rsidRPr="00576F91" w:rsidR="00612DC3">
              <w:rPr>
                <w:rFonts w:asciiTheme="majorHAnsi" w:hAnsiTheme="majorHAnsi"/>
              </w:rPr>
              <w:t>abogados</w:t>
            </w:r>
            <w:r w:rsidRPr="00576F91" w:rsidR="00200172">
              <w:rPr>
                <w:rFonts w:asciiTheme="majorHAnsi" w:hAnsiTheme="majorHAnsi"/>
              </w:rPr>
              <w:t>(*)</w:t>
            </w:r>
            <w:r w:rsidRPr="00576F91" w:rsidR="00612DC3">
              <w:rPr>
                <w:rFonts w:asciiTheme="majorHAnsi" w:hAnsiTheme="majorHAnsi"/>
              </w:rPr>
              <w:t xml:space="preserve"> y otras personas físicas o jurídicas según lo dispuesto en el literal e) del art</w:t>
            </w:r>
            <w:r w:rsidRPr="00576F91" w:rsidR="00200172">
              <w:rPr>
                <w:rFonts w:asciiTheme="majorHAnsi" w:hAnsiTheme="majorHAnsi"/>
              </w:rPr>
              <w:t>ículo 5 del Acuerdo SUGEF 11-18, cuanto realicen las siguientes actividades:</w:t>
            </w:r>
          </w:p>
          <w:p w:rsidRPr="00576F91" w:rsidR="003023FB" w:rsidP="003023FB" w:rsidRDefault="003023FB" w14:paraId="007EE2A6" w14:textId="77777777">
            <w:pPr>
              <w:pStyle w:val="Prrafodelista"/>
              <w:numPr>
                <w:ilvl w:val="0"/>
                <w:numId w:val="17"/>
              </w:numPr>
              <w:ind w:left="600" w:hanging="240"/>
              <w:contextualSpacing/>
              <w:jc w:val="both"/>
              <w:outlineLvl w:val="0"/>
              <w:rPr>
                <w:rFonts w:asciiTheme="majorHAnsi" w:hAnsiTheme="majorHAnsi"/>
              </w:rPr>
            </w:pPr>
            <w:r w:rsidRPr="00576F91">
              <w:rPr>
                <w:rFonts w:asciiTheme="majorHAnsi" w:hAnsiTheme="majorHAnsi"/>
              </w:rPr>
              <w:t>La compra y venta de bienes inmuebles.</w:t>
            </w:r>
          </w:p>
          <w:p w:rsidRPr="00576F91" w:rsidR="003023FB" w:rsidP="003023FB" w:rsidRDefault="003023FB" w14:paraId="590918A9" w14:textId="77777777">
            <w:pPr>
              <w:pStyle w:val="Prrafodelista"/>
              <w:numPr>
                <w:ilvl w:val="0"/>
                <w:numId w:val="17"/>
              </w:numPr>
              <w:ind w:left="600" w:hanging="240"/>
              <w:contextualSpacing/>
              <w:jc w:val="both"/>
              <w:outlineLvl w:val="0"/>
              <w:rPr>
                <w:rFonts w:asciiTheme="majorHAnsi" w:hAnsiTheme="majorHAnsi"/>
              </w:rPr>
            </w:pPr>
            <w:r w:rsidRPr="00576F91">
              <w:rPr>
                <w:rFonts w:asciiTheme="majorHAnsi" w:hAnsiTheme="majorHAnsi"/>
              </w:rPr>
              <w:t xml:space="preserve">La administración del dinero, las cuentas bancarias, los ahorros u otros activos del cliente, </w:t>
            </w:r>
            <w:r w:rsidRPr="00576F91" w:rsidR="003C7A47">
              <w:rPr>
                <w:rFonts w:asciiTheme="majorHAnsi" w:hAnsiTheme="majorHAnsi"/>
              </w:rPr>
              <w:t>por el monto inferior a la cuantía significativa determinada en el Acuerdo SUGEF 11-18.</w:t>
            </w:r>
          </w:p>
          <w:p w:rsidRPr="00576F91" w:rsidR="003C7A47" w:rsidP="003023FB" w:rsidRDefault="003C7A47" w14:paraId="0151C9AA" w14:textId="4B6C23F2">
            <w:pPr>
              <w:pStyle w:val="Prrafodelista"/>
              <w:numPr>
                <w:ilvl w:val="0"/>
                <w:numId w:val="17"/>
              </w:numPr>
              <w:ind w:left="600" w:hanging="240"/>
              <w:contextualSpacing/>
              <w:jc w:val="both"/>
              <w:outlineLvl w:val="0"/>
              <w:rPr>
                <w:rFonts w:asciiTheme="majorHAnsi" w:hAnsiTheme="majorHAnsi"/>
              </w:rPr>
            </w:pPr>
            <w:r w:rsidRPr="00576F91">
              <w:rPr>
                <w:rFonts w:asciiTheme="majorHAnsi" w:hAnsiTheme="majorHAnsi"/>
              </w:rPr>
              <w:t>La operación, la administración de la compra y venta de personas jurídicas u otras estructuras jurídicas.</w:t>
            </w:r>
          </w:p>
        </w:tc>
        <w:tc>
          <w:tcPr>
            <w:tcW w:w="2687" w:type="dxa"/>
          </w:tcPr>
          <w:p w:rsidRPr="00576F91" w:rsidR="00612DC3" w:rsidP="00912B64" w:rsidRDefault="00612DC3" w14:paraId="39B222F1" w14:textId="77777777">
            <w:pPr>
              <w:contextualSpacing/>
              <w:jc w:val="center"/>
              <w:outlineLvl w:val="0"/>
              <w:rPr>
                <w:rFonts w:asciiTheme="majorHAnsi" w:hAnsiTheme="majorHAnsi"/>
              </w:rPr>
            </w:pPr>
          </w:p>
          <w:p w:rsidRPr="00576F91" w:rsidR="003C7A47" w:rsidP="00912B64" w:rsidRDefault="003C7A47" w14:paraId="0EABE77D" w14:textId="46EBD962">
            <w:pPr>
              <w:contextualSpacing/>
              <w:jc w:val="center"/>
              <w:outlineLvl w:val="0"/>
              <w:rPr>
                <w:rFonts w:asciiTheme="majorHAnsi" w:hAnsiTheme="majorHAnsi"/>
              </w:rPr>
            </w:pPr>
          </w:p>
          <w:p w:rsidR="003C7A47" w:rsidP="00912B64" w:rsidRDefault="003C7A47" w14:paraId="7D587E22" w14:textId="77777777">
            <w:pPr>
              <w:contextualSpacing/>
              <w:jc w:val="center"/>
              <w:outlineLvl w:val="0"/>
              <w:rPr>
                <w:rFonts w:asciiTheme="majorHAnsi" w:hAnsiTheme="majorHAnsi"/>
              </w:rPr>
            </w:pPr>
          </w:p>
          <w:p w:rsidRPr="00576F91" w:rsidR="008B520F" w:rsidP="00912B64" w:rsidRDefault="008B520F" w14:paraId="593F62B2" w14:textId="77777777">
            <w:pPr>
              <w:contextualSpacing/>
              <w:jc w:val="center"/>
              <w:outlineLvl w:val="0"/>
              <w:rPr>
                <w:rFonts w:asciiTheme="majorHAnsi" w:hAnsiTheme="majorHAnsi"/>
              </w:rPr>
            </w:pPr>
          </w:p>
          <w:p w:rsidRPr="00576F91" w:rsidR="003C7A47" w:rsidP="00912B64" w:rsidRDefault="003C7A47" w14:paraId="136EB693" w14:textId="77777777">
            <w:pPr>
              <w:contextualSpacing/>
              <w:jc w:val="center"/>
              <w:outlineLvl w:val="0"/>
              <w:rPr>
                <w:rFonts w:asciiTheme="majorHAnsi" w:hAnsiTheme="majorHAnsi"/>
              </w:rPr>
            </w:pPr>
          </w:p>
          <w:p w:rsidRPr="00576F91" w:rsidR="003C7A47" w:rsidP="00912B64" w:rsidRDefault="003C7A47" w14:paraId="7A83FECD" w14:textId="77777777">
            <w:pPr>
              <w:contextualSpacing/>
              <w:jc w:val="center"/>
              <w:outlineLvl w:val="0"/>
              <w:rPr>
                <w:rFonts w:asciiTheme="majorHAnsi" w:hAnsiTheme="majorHAnsi"/>
              </w:rPr>
            </w:pPr>
          </w:p>
          <w:p w:rsidRPr="00576F91" w:rsidR="00612DC3" w:rsidP="00912B64" w:rsidRDefault="00612DC3" w14:paraId="6AB32686" w14:textId="77777777">
            <w:pPr>
              <w:contextualSpacing/>
              <w:jc w:val="center"/>
              <w:outlineLvl w:val="0"/>
              <w:rPr>
                <w:rFonts w:asciiTheme="majorHAnsi" w:hAnsiTheme="majorHAnsi"/>
              </w:rPr>
            </w:pPr>
            <w:r w:rsidRPr="00576F91">
              <w:rPr>
                <w:rFonts w:asciiTheme="majorHAnsi" w:hAnsiTheme="majorHAnsi"/>
              </w:rPr>
              <w:t>Febrero 2019</w:t>
            </w:r>
          </w:p>
        </w:tc>
      </w:tr>
      <w:tr w:rsidRPr="00576F91" w:rsidR="00612DC3" w:rsidTr="00912B64" w14:paraId="179256C2" w14:textId="77777777">
        <w:tc>
          <w:tcPr>
            <w:tcW w:w="5386" w:type="dxa"/>
          </w:tcPr>
          <w:p w:rsidRPr="00576F91" w:rsidR="00612DC3" w:rsidP="0004616D" w:rsidRDefault="0004616D" w14:paraId="3F63E8FF" w14:textId="5B556DB8">
            <w:pPr>
              <w:pStyle w:val="Prrafodelista"/>
              <w:numPr>
                <w:ilvl w:val="0"/>
                <w:numId w:val="16"/>
              </w:numPr>
              <w:contextualSpacing/>
              <w:jc w:val="both"/>
              <w:outlineLvl w:val="0"/>
              <w:rPr>
                <w:rFonts w:asciiTheme="majorHAnsi" w:hAnsiTheme="majorHAnsi"/>
              </w:rPr>
            </w:pPr>
            <w:r w:rsidRPr="00576F91">
              <w:rPr>
                <w:rFonts w:asciiTheme="majorHAnsi" w:hAnsiTheme="majorHAnsi"/>
              </w:rPr>
              <w:t>Casinos físicos o virtuales</w:t>
            </w:r>
            <w:r w:rsidRPr="00576F91" w:rsidR="009B2688">
              <w:rPr>
                <w:rFonts w:asciiTheme="majorHAnsi" w:hAnsiTheme="majorHAnsi"/>
              </w:rPr>
              <w:t xml:space="preserve"> (que operen desde Costa Rica)</w:t>
            </w:r>
            <w:r w:rsidRPr="00576F91" w:rsidR="00183C4D">
              <w:rPr>
                <w:rFonts w:asciiTheme="majorHAnsi" w:hAnsiTheme="majorHAnsi"/>
              </w:rPr>
              <w:t>,</w:t>
            </w:r>
            <w:r w:rsidRPr="00576F91" w:rsidR="00612DC3">
              <w:rPr>
                <w:rFonts w:asciiTheme="majorHAnsi" w:hAnsiTheme="majorHAnsi"/>
              </w:rPr>
              <w:t xml:space="preserve"> el otorgamiento de cualqui</w:t>
            </w:r>
            <w:r w:rsidR="00B33EA9">
              <w:rPr>
                <w:rFonts w:asciiTheme="majorHAnsi" w:hAnsiTheme="majorHAnsi"/>
              </w:rPr>
              <w:t>er tipo de facilidad crediticia y</w:t>
            </w:r>
            <w:r w:rsidRPr="00576F91" w:rsidR="00612DC3">
              <w:rPr>
                <w:rFonts w:asciiTheme="majorHAnsi" w:hAnsiTheme="majorHAnsi"/>
              </w:rPr>
              <w:t xml:space="preserve"> los proveedores de servicios fiduciarios, según se dispone respectivamente en los literales a), </w:t>
            </w:r>
            <w:r w:rsidR="00B33EA9">
              <w:rPr>
                <w:rFonts w:asciiTheme="majorHAnsi" w:hAnsiTheme="majorHAnsi"/>
              </w:rPr>
              <w:t>f</w:t>
            </w:r>
            <w:r w:rsidRPr="00576F91" w:rsidR="00612DC3">
              <w:rPr>
                <w:rFonts w:asciiTheme="majorHAnsi" w:hAnsiTheme="majorHAnsi"/>
              </w:rPr>
              <w:t>)</w:t>
            </w:r>
            <w:r w:rsidR="00B33EA9">
              <w:rPr>
                <w:rFonts w:asciiTheme="majorHAnsi" w:hAnsiTheme="majorHAnsi"/>
              </w:rPr>
              <w:t xml:space="preserve"> y g</w:t>
            </w:r>
            <w:r w:rsidRPr="00576F91" w:rsidR="00612DC3">
              <w:rPr>
                <w:rFonts w:asciiTheme="majorHAnsi" w:hAnsiTheme="majorHAnsi"/>
              </w:rPr>
              <w:t>) del artículo 5 del Acuerdo SUGEF 11-18.</w:t>
            </w:r>
          </w:p>
        </w:tc>
        <w:tc>
          <w:tcPr>
            <w:tcW w:w="2687" w:type="dxa"/>
          </w:tcPr>
          <w:p w:rsidRPr="00576F91" w:rsidR="00612DC3" w:rsidP="00912B64" w:rsidRDefault="00612DC3" w14:paraId="76EE5EC4" w14:textId="77777777">
            <w:pPr>
              <w:contextualSpacing/>
              <w:jc w:val="center"/>
              <w:outlineLvl w:val="0"/>
              <w:rPr>
                <w:rFonts w:asciiTheme="majorHAnsi" w:hAnsiTheme="majorHAnsi"/>
              </w:rPr>
            </w:pPr>
          </w:p>
          <w:p w:rsidR="00612DC3" w:rsidP="00912B64" w:rsidRDefault="00612DC3" w14:paraId="31B68721" w14:textId="77777777">
            <w:pPr>
              <w:contextualSpacing/>
              <w:jc w:val="center"/>
              <w:outlineLvl w:val="0"/>
              <w:rPr>
                <w:rFonts w:asciiTheme="majorHAnsi" w:hAnsiTheme="majorHAnsi"/>
              </w:rPr>
            </w:pPr>
          </w:p>
          <w:p w:rsidRPr="00576F91" w:rsidR="008B520F" w:rsidP="00912B64" w:rsidRDefault="008B520F" w14:paraId="22207922" w14:textId="77777777">
            <w:pPr>
              <w:contextualSpacing/>
              <w:jc w:val="center"/>
              <w:outlineLvl w:val="0"/>
              <w:rPr>
                <w:rFonts w:asciiTheme="majorHAnsi" w:hAnsiTheme="majorHAnsi"/>
              </w:rPr>
            </w:pPr>
          </w:p>
          <w:p w:rsidRPr="00576F91" w:rsidR="00612DC3" w:rsidP="00912B64" w:rsidRDefault="00612DC3" w14:paraId="426AD5A1" w14:textId="77777777">
            <w:pPr>
              <w:contextualSpacing/>
              <w:jc w:val="center"/>
              <w:outlineLvl w:val="0"/>
              <w:rPr>
                <w:rFonts w:asciiTheme="majorHAnsi" w:hAnsiTheme="majorHAnsi"/>
              </w:rPr>
            </w:pPr>
            <w:r w:rsidRPr="00576F91">
              <w:rPr>
                <w:rFonts w:asciiTheme="majorHAnsi" w:hAnsiTheme="majorHAnsi"/>
              </w:rPr>
              <w:t>Marzo 2019</w:t>
            </w:r>
          </w:p>
        </w:tc>
      </w:tr>
      <w:tr w:rsidRPr="00576F91" w:rsidR="00612DC3" w:rsidTr="00912B64" w14:paraId="51A6407A" w14:textId="77777777">
        <w:tc>
          <w:tcPr>
            <w:tcW w:w="5386" w:type="dxa"/>
          </w:tcPr>
          <w:p w:rsidRPr="00576F91" w:rsidR="00612DC3" w:rsidP="006338B5" w:rsidRDefault="00612DC3" w14:paraId="64171F13" w14:textId="0D2FA00B">
            <w:pPr>
              <w:pStyle w:val="Prrafodelista"/>
              <w:numPr>
                <w:ilvl w:val="0"/>
                <w:numId w:val="16"/>
              </w:numPr>
              <w:contextualSpacing/>
              <w:jc w:val="both"/>
              <w:outlineLvl w:val="0"/>
              <w:rPr>
                <w:rFonts w:asciiTheme="majorHAnsi" w:hAnsiTheme="majorHAnsi"/>
              </w:rPr>
            </w:pPr>
            <w:r w:rsidRPr="00576F91">
              <w:rPr>
                <w:rFonts w:asciiTheme="majorHAnsi" w:hAnsiTheme="majorHAnsi"/>
              </w:rPr>
              <w:t>Las personas físicas o jurídicas que se dediquen de forma profesional y habitual a la compra y venta de bienes inmuebles</w:t>
            </w:r>
            <w:r w:rsidRPr="00576F91" w:rsidR="009B2688">
              <w:rPr>
                <w:rFonts w:asciiTheme="majorHAnsi" w:hAnsiTheme="majorHAnsi"/>
              </w:rPr>
              <w:t>;</w:t>
            </w:r>
            <w:r w:rsidRPr="00576F91">
              <w:rPr>
                <w:rFonts w:asciiTheme="majorHAnsi" w:hAnsiTheme="majorHAnsi"/>
              </w:rPr>
              <w:t xml:space="preserve"> y organizaciones sin fines de lucro que envíe</w:t>
            </w:r>
            <w:r w:rsidRPr="00576F91" w:rsidR="006338B5">
              <w:rPr>
                <w:rFonts w:asciiTheme="majorHAnsi" w:hAnsiTheme="majorHAnsi"/>
              </w:rPr>
              <w:t>n</w:t>
            </w:r>
            <w:r w:rsidRPr="00576F91">
              <w:rPr>
                <w:rFonts w:asciiTheme="majorHAnsi" w:hAnsiTheme="majorHAnsi"/>
              </w:rPr>
              <w:t xml:space="preserve"> o reciba</w:t>
            </w:r>
            <w:r w:rsidRPr="00576F91" w:rsidR="006338B5">
              <w:rPr>
                <w:rFonts w:asciiTheme="majorHAnsi" w:hAnsiTheme="majorHAnsi"/>
              </w:rPr>
              <w:t>n</w:t>
            </w:r>
            <w:r w:rsidRPr="00576F91">
              <w:rPr>
                <w:rFonts w:asciiTheme="majorHAnsi" w:hAnsiTheme="majorHAnsi"/>
              </w:rPr>
              <w:t xml:space="preserve"> dinero procedente de jurisdicciones internacionalmente catalogadas de riesgo, según se dispone respectivamente en los literales </w:t>
            </w:r>
            <w:r w:rsidRPr="00FA29B1">
              <w:rPr>
                <w:rFonts w:asciiTheme="majorHAnsi" w:hAnsiTheme="majorHAnsi"/>
              </w:rPr>
              <w:t>b) y d) del artículo 5 del Acuerdo SUGEF 11-18.</w:t>
            </w:r>
          </w:p>
        </w:tc>
        <w:tc>
          <w:tcPr>
            <w:tcW w:w="2687" w:type="dxa"/>
          </w:tcPr>
          <w:p w:rsidRPr="00576F91" w:rsidR="00612DC3" w:rsidP="00912B64" w:rsidRDefault="00612DC3" w14:paraId="66100A7F" w14:textId="77777777">
            <w:pPr>
              <w:contextualSpacing/>
              <w:jc w:val="center"/>
              <w:outlineLvl w:val="0"/>
              <w:rPr>
                <w:rFonts w:asciiTheme="majorHAnsi" w:hAnsiTheme="majorHAnsi"/>
              </w:rPr>
            </w:pPr>
          </w:p>
          <w:p w:rsidRPr="00576F91" w:rsidR="00612DC3" w:rsidP="00912B64" w:rsidRDefault="00612DC3" w14:paraId="106F87E0" w14:textId="77777777">
            <w:pPr>
              <w:contextualSpacing/>
              <w:jc w:val="center"/>
              <w:outlineLvl w:val="0"/>
              <w:rPr>
                <w:rFonts w:asciiTheme="majorHAnsi" w:hAnsiTheme="majorHAnsi"/>
              </w:rPr>
            </w:pPr>
          </w:p>
          <w:p w:rsidR="00E2450C" w:rsidP="00912B64" w:rsidRDefault="00E2450C" w14:paraId="1EC73403" w14:textId="77777777">
            <w:pPr>
              <w:contextualSpacing/>
              <w:jc w:val="center"/>
              <w:outlineLvl w:val="0"/>
              <w:rPr>
                <w:rFonts w:asciiTheme="majorHAnsi" w:hAnsiTheme="majorHAnsi"/>
              </w:rPr>
            </w:pPr>
          </w:p>
          <w:p w:rsidRPr="00576F91" w:rsidR="00FA29B1" w:rsidP="00912B64" w:rsidRDefault="00FA29B1" w14:paraId="35F9C427" w14:textId="77777777">
            <w:pPr>
              <w:contextualSpacing/>
              <w:jc w:val="center"/>
              <w:outlineLvl w:val="0"/>
              <w:rPr>
                <w:rFonts w:asciiTheme="majorHAnsi" w:hAnsiTheme="majorHAnsi"/>
              </w:rPr>
            </w:pPr>
          </w:p>
          <w:p w:rsidRPr="00576F91" w:rsidR="00612DC3" w:rsidP="00912B64" w:rsidRDefault="00612DC3" w14:paraId="21BC58C5" w14:textId="77777777">
            <w:pPr>
              <w:contextualSpacing/>
              <w:jc w:val="center"/>
              <w:outlineLvl w:val="0"/>
              <w:rPr>
                <w:rFonts w:asciiTheme="majorHAnsi" w:hAnsiTheme="majorHAnsi"/>
              </w:rPr>
            </w:pPr>
            <w:r w:rsidRPr="00576F91">
              <w:rPr>
                <w:rFonts w:asciiTheme="majorHAnsi" w:hAnsiTheme="majorHAnsi"/>
              </w:rPr>
              <w:t>Abril 2019</w:t>
            </w:r>
          </w:p>
        </w:tc>
      </w:tr>
    </w:tbl>
    <w:p w:rsidRPr="00340028" w:rsidR="00612DC3" w:rsidP="00200172" w:rsidRDefault="00200172" w14:paraId="72046A06" w14:textId="09FE5E17">
      <w:pPr>
        <w:ind w:left="426"/>
        <w:contextualSpacing/>
        <w:outlineLvl w:val="0"/>
        <w:rPr>
          <w:sz w:val="20"/>
          <w:szCs w:val="20"/>
        </w:rPr>
      </w:pPr>
      <w:r w:rsidRPr="00665688">
        <w:rPr>
          <w:sz w:val="20"/>
          <w:szCs w:val="20"/>
        </w:rPr>
        <w:t xml:space="preserve">(*) Los abogados que actúen en calidad de notarios, no deben inscribirse ante la SUGEF, </w:t>
      </w:r>
      <w:r w:rsidRPr="00665688" w:rsidR="00B16626">
        <w:rPr>
          <w:sz w:val="20"/>
          <w:szCs w:val="20"/>
        </w:rPr>
        <w:t xml:space="preserve">dado que </w:t>
      </w:r>
      <w:r w:rsidRPr="00665688" w:rsidR="00B16626">
        <w:rPr>
          <w:sz w:val="20"/>
          <w:szCs w:val="20"/>
        </w:rPr>
        <w:t>según lo dispuesto en el artículo 15 Ter de la Ley 7786</w:t>
      </w:r>
      <w:r w:rsidRPr="00665688" w:rsidR="00B16626">
        <w:rPr>
          <w:sz w:val="20"/>
          <w:szCs w:val="20"/>
        </w:rPr>
        <w:t xml:space="preserve">, su supervisor es </w:t>
      </w:r>
      <w:r w:rsidRPr="00665688">
        <w:rPr>
          <w:sz w:val="20"/>
          <w:szCs w:val="20"/>
        </w:rPr>
        <w:t>la Direcci</w:t>
      </w:r>
      <w:r w:rsidRPr="00665688" w:rsidR="00B16626">
        <w:rPr>
          <w:sz w:val="20"/>
          <w:szCs w:val="20"/>
        </w:rPr>
        <w:t>ón Nacional de Notariado</w:t>
      </w:r>
      <w:r w:rsidRPr="00665688">
        <w:rPr>
          <w:sz w:val="20"/>
          <w:szCs w:val="20"/>
        </w:rPr>
        <w:t>.</w:t>
      </w:r>
    </w:p>
    <w:p w:rsidR="00612DC3" w:rsidP="00612DC3" w:rsidRDefault="00612DC3" w14:paraId="2E6462FD" w14:textId="77777777">
      <w:pPr>
        <w:contextualSpacing/>
        <w:outlineLvl w:val="0"/>
      </w:pPr>
    </w:p>
    <w:p w:rsidRPr="00627F30" w:rsidR="00612DC3" w:rsidP="00612DC3" w:rsidRDefault="00FA29B1" w14:paraId="5C3652A9" w14:textId="2B2991C1">
      <w:pPr>
        <w:ind w:left="426"/>
        <w:contextualSpacing/>
        <w:outlineLvl w:val="0"/>
        <w:rPr>
          <w:sz w:val="24"/>
        </w:rPr>
      </w:pPr>
      <w:r>
        <w:rPr>
          <w:sz w:val="24"/>
        </w:rPr>
        <w:t>A</w:t>
      </w:r>
      <w:r w:rsidRPr="00627F30" w:rsidR="00612DC3">
        <w:rPr>
          <w:sz w:val="24"/>
        </w:rPr>
        <w:t xml:space="preserve">quellos sujetos obligados por los artículos 15 y 15 bis de la ley </w:t>
      </w:r>
      <w:r w:rsidR="00627F30">
        <w:rPr>
          <w:sz w:val="24"/>
        </w:rPr>
        <w:t>7786</w:t>
      </w:r>
      <w:r w:rsidRPr="00627F30" w:rsidR="00612DC3">
        <w:rPr>
          <w:sz w:val="24"/>
        </w:rPr>
        <w:t>, que vayan a iniciar relaciones comerciales con las entidades financieras</w:t>
      </w:r>
      <w:r w:rsidR="00627F30">
        <w:rPr>
          <w:sz w:val="24"/>
        </w:rPr>
        <w:t>,</w:t>
      </w:r>
      <w:r w:rsidRPr="00627F30" w:rsidR="00612DC3">
        <w:rPr>
          <w:sz w:val="24"/>
        </w:rPr>
        <w:t xml:space="preserve"> deberán </w:t>
      </w:r>
      <w:r>
        <w:rPr>
          <w:sz w:val="24"/>
        </w:rPr>
        <w:t xml:space="preserve">de previo inscribirse </w:t>
      </w:r>
      <w:r w:rsidRPr="00627F30" w:rsidR="00612DC3">
        <w:rPr>
          <w:sz w:val="24"/>
        </w:rPr>
        <w:t>ante la SUGEF, según lo dispuesto en el Acuerdo SUGEF 11-18.</w:t>
      </w:r>
    </w:p>
    <w:p w:rsidR="00612DC3" w:rsidP="00612DC3" w:rsidRDefault="00612DC3" w14:paraId="2B0DF390" w14:textId="77777777">
      <w:pPr>
        <w:contextualSpacing/>
        <w:outlineLvl w:val="0"/>
      </w:pPr>
    </w:p>
    <w:p w:rsidRPr="008B520F" w:rsidR="00612DC3" w:rsidP="00612DC3" w:rsidRDefault="00612DC3" w14:paraId="0B7295D7" w14:textId="5F38EBD4">
      <w:pPr>
        <w:pStyle w:val="Prrafodelista"/>
        <w:numPr>
          <w:ilvl w:val="0"/>
          <w:numId w:val="15"/>
        </w:numPr>
        <w:contextualSpacing/>
        <w:jc w:val="both"/>
        <w:outlineLvl w:val="0"/>
        <w:rPr>
          <w:rFonts w:asciiTheme="majorHAnsi" w:hAnsiTheme="majorHAnsi"/>
          <w:color w:val="2A6094" w:themeColor="accent1" w:themeShade="BF"/>
        </w:rPr>
      </w:pPr>
      <w:r w:rsidRPr="008B520F">
        <w:rPr>
          <w:rFonts w:asciiTheme="majorHAnsi" w:hAnsiTheme="majorHAnsi"/>
        </w:rPr>
        <w:t xml:space="preserve">El medio dispuesto por la SUGEF para realizar la inscripción es el Sistema de Inscripción de Personas Obligadas (IPO) ubicado en la siguiente dirección electrónica: </w:t>
      </w:r>
      <w:hyperlink w:history="1" r:id="rId13">
        <w:r w:rsidRPr="008B520F" w:rsidR="00391DC5">
          <w:rPr>
            <w:rStyle w:val="Hipervnculo"/>
            <w:rFonts w:asciiTheme="majorHAnsi" w:hAnsiTheme="majorHAnsi"/>
          </w:rPr>
          <w:t>https://www.sugefdirecto.sugef.fi.cr</w:t>
        </w:r>
      </w:hyperlink>
      <w:r w:rsidRPr="008B520F" w:rsidR="00391DC5">
        <w:rPr>
          <w:rFonts w:asciiTheme="majorHAnsi" w:hAnsiTheme="majorHAnsi"/>
        </w:rPr>
        <w:t xml:space="preserve">, </w:t>
      </w:r>
      <w:r w:rsidRPr="008B520F">
        <w:rPr>
          <w:rFonts w:asciiTheme="majorHAnsi" w:hAnsiTheme="majorHAnsi"/>
        </w:rPr>
        <w:t xml:space="preserve">para lo cual es indispensable que el sujeto obligado </w:t>
      </w:r>
      <w:r w:rsidRPr="008B520F" w:rsidR="00904250">
        <w:rPr>
          <w:rFonts w:asciiTheme="majorHAnsi" w:hAnsiTheme="majorHAnsi"/>
        </w:rPr>
        <w:t>persona física o el representante legal de</w:t>
      </w:r>
      <w:r w:rsidRPr="008B520F" w:rsidR="00ED1EC4">
        <w:rPr>
          <w:rFonts w:asciiTheme="majorHAnsi" w:hAnsiTheme="majorHAnsi"/>
        </w:rPr>
        <w:t>l sujeto obligado de</w:t>
      </w:r>
      <w:r w:rsidRPr="008B520F" w:rsidR="00904250">
        <w:rPr>
          <w:rFonts w:asciiTheme="majorHAnsi" w:hAnsiTheme="majorHAnsi"/>
        </w:rPr>
        <w:t xml:space="preserve"> la persona jurídica, </w:t>
      </w:r>
      <w:r w:rsidRPr="008B520F">
        <w:rPr>
          <w:rFonts w:asciiTheme="majorHAnsi" w:hAnsiTheme="majorHAnsi"/>
        </w:rPr>
        <w:t>cuente con el certificado de firma digital. (</w:t>
      </w:r>
      <w:hyperlink w:history="1" r:id="rId14">
        <w:r w:rsidRPr="008B520F">
          <w:rPr>
            <w:rStyle w:val="Hipervnculo"/>
            <w:rFonts w:asciiTheme="majorHAnsi" w:hAnsiTheme="majorHAnsi"/>
          </w:rPr>
          <w:t>https://www.soportefirmadigital.com/web/es/que-es-firma-digital.html</w:t>
        </w:r>
      </w:hyperlink>
      <w:r w:rsidRPr="008B520F">
        <w:rPr>
          <w:rFonts w:asciiTheme="majorHAnsi" w:hAnsiTheme="majorHAnsi"/>
        </w:rPr>
        <w:t>)</w:t>
      </w:r>
    </w:p>
    <w:p w:rsidRPr="008B520F" w:rsidR="00612DC3" w:rsidP="00612DC3" w:rsidRDefault="00612DC3" w14:paraId="45EB11AD" w14:textId="77777777">
      <w:pPr>
        <w:pStyle w:val="Prrafodelista"/>
        <w:rPr>
          <w:rFonts w:asciiTheme="majorHAnsi" w:hAnsiTheme="majorHAnsi"/>
          <w:color w:val="2A6094" w:themeColor="accent1" w:themeShade="BF"/>
        </w:rPr>
      </w:pPr>
    </w:p>
    <w:p w:rsidRPr="008B520F" w:rsidR="00612DC3" w:rsidP="00612DC3" w:rsidRDefault="00901D08" w14:paraId="6611F901" w14:textId="00110177">
      <w:pPr>
        <w:pStyle w:val="Prrafodelista"/>
        <w:numPr>
          <w:ilvl w:val="0"/>
          <w:numId w:val="15"/>
        </w:numPr>
        <w:ind w:left="426"/>
        <w:contextualSpacing/>
        <w:jc w:val="both"/>
        <w:outlineLvl w:val="0"/>
        <w:rPr>
          <w:rFonts w:asciiTheme="majorHAnsi" w:hAnsiTheme="majorHAnsi"/>
        </w:rPr>
      </w:pPr>
      <w:r w:rsidRPr="008B520F">
        <w:rPr>
          <w:rFonts w:asciiTheme="majorHAnsi" w:hAnsiTheme="majorHAnsi"/>
        </w:rPr>
        <w:t>C</w:t>
      </w:r>
      <w:r w:rsidRPr="008B520F" w:rsidR="00612DC3">
        <w:rPr>
          <w:rFonts w:asciiTheme="majorHAnsi" w:hAnsiTheme="majorHAnsi"/>
        </w:rPr>
        <w:t>ualquier modificación de la información presentada requerida en el Acuerdo SUGEF 11-18, que se dé posterior a la inscripción, el medio dispuesto por la SUGEF para actualizarla es mediante el sistema antes mencionado.</w:t>
      </w:r>
    </w:p>
    <w:p w:rsidRPr="008B520F" w:rsidR="00612DC3" w:rsidP="00612DC3" w:rsidRDefault="00612DC3" w14:paraId="5A8A8F6D" w14:textId="77777777">
      <w:pPr>
        <w:pStyle w:val="Prrafodelista"/>
        <w:ind w:left="426"/>
        <w:contextualSpacing/>
        <w:jc w:val="both"/>
        <w:outlineLvl w:val="0"/>
        <w:rPr>
          <w:rFonts w:asciiTheme="majorHAnsi" w:hAnsiTheme="majorHAnsi"/>
          <w:color w:val="2A6094" w:themeColor="accent1" w:themeShade="BF"/>
        </w:rPr>
      </w:pPr>
    </w:p>
    <w:p w:rsidRPr="008B520F" w:rsidR="00612DC3" w:rsidP="00612DC3" w:rsidRDefault="00612DC3" w14:paraId="10AD304D" w14:textId="77777777">
      <w:pPr>
        <w:pStyle w:val="Prrafodelista"/>
        <w:numPr>
          <w:ilvl w:val="0"/>
          <w:numId w:val="15"/>
        </w:numPr>
        <w:ind w:left="426"/>
        <w:contextualSpacing/>
        <w:jc w:val="both"/>
        <w:outlineLvl w:val="0"/>
        <w:rPr>
          <w:rFonts w:asciiTheme="majorHAnsi" w:hAnsiTheme="majorHAnsi"/>
        </w:rPr>
      </w:pPr>
      <w:r w:rsidRPr="008B520F">
        <w:rPr>
          <w:rFonts w:asciiTheme="majorHAnsi" w:hAnsiTheme="majorHAnsi"/>
        </w:rPr>
        <w:t>Resulta conveniente recordar que el Acuerdo SUGEF 11-18 establece que todas las notificaciones se realizarán utilizando el correo electrónico registrado en el Sistema de Inscripción de Personas Obligadas (IPO).</w:t>
      </w:r>
    </w:p>
    <w:p w:rsidRPr="008B520F" w:rsidR="00D51C1C" w:rsidP="00D51C1C" w:rsidRDefault="00D51C1C" w14:paraId="3B100B91" w14:textId="77777777">
      <w:pPr>
        <w:pStyle w:val="Prrafodelista"/>
        <w:rPr>
          <w:rFonts w:asciiTheme="majorHAnsi" w:hAnsiTheme="majorHAnsi"/>
        </w:rPr>
      </w:pPr>
    </w:p>
    <w:p w:rsidRPr="008B520F" w:rsidR="00D51C1C" w:rsidP="00612DC3" w:rsidRDefault="00D51C1C" w14:paraId="0916643C" w14:textId="60470049">
      <w:pPr>
        <w:pStyle w:val="Prrafodelista"/>
        <w:numPr>
          <w:ilvl w:val="0"/>
          <w:numId w:val="15"/>
        </w:numPr>
        <w:ind w:left="426"/>
        <w:contextualSpacing/>
        <w:jc w:val="both"/>
        <w:outlineLvl w:val="0"/>
        <w:rPr>
          <w:rFonts w:asciiTheme="majorHAnsi" w:hAnsiTheme="majorHAnsi"/>
        </w:rPr>
      </w:pPr>
      <w:r w:rsidRPr="008B520F">
        <w:rPr>
          <w:rFonts w:asciiTheme="majorHAnsi" w:hAnsiTheme="majorHAnsi"/>
        </w:rPr>
        <w:t xml:space="preserve">La SUGEF </w:t>
      </w:r>
      <w:r w:rsidR="00D1330E">
        <w:rPr>
          <w:rFonts w:asciiTheme="majorHAnsi" w:hAnsiTheme="majorHAnsi"/>
        </w:rPr>
        <w:t>habilitará</w:t>
      </w:r>
      <w:r w:rsidRPr="008B520F">
        <w:rPr>
          <w:rFonts w:asciiTheme="majorHAnsi" w:hAnsiTheme="majorHAnsi"/>
        </w:rPr>
        <w:t xml:space="preserve"> en su página web, previo inicio del proceso de inscripción, videos tutoriales de la forma de uso del Sistema de Inscripción de Personas Obligadas</w:t>
      </w:r>
      <w:r w:rsidRPr="008B520F" w:rsidR="00364168">
        <w:rPr>
          <w:rFonts w:asciiTheme="majorHAnsi" w:hAnsiTheme="majorHAnsi"/>
        </w:rPr>
        <w:t xml:space="preserve"> (IPO)</w:t>
      </w:r>
      <w:r w:rsidRPr="008B520F">
        <w:rPr>
          <w:rFonts w:asciiTheme="majorHAnsi" w:hAnsiTheme="majorHAnsi"/>
        </w:rPr>
        <w:t>.</w:t>
      </w:r>
      <w:bookmarkStart w:name="_GoBack" w:id="0"/>
      <w:bookmarkEnd w:id="0"/>
    </w:p>
    <w:p w:rsidRPr="008B520F" w:rsidR="00612DC3" w:rsidP="00612DC3" w:rsidRDefault="00612DC3" w14:paraId="5F22BC6F" w14:textId="77777777">
      <w:pPr>
        <w:pStyle w:val="Prrafodelista"/>
        <w:rPr>
          <w:rFonts w:asciiTheme="majorHAnsi" w:hAnsiTheme="majorHAnsi"/>
        </w:rPr>
      </w:pPr>
    </w:p>
    <w:p w:rsidRPr="008B520F" w:rsidR="00612DC3" w:rsidP="00612DC3" w:rsidRDefault="00434256" w14:paraId="52A3CC95" w14:textId="374A4942">
      <w:pPr>
        <w:pStyle w:val="Prrafodelista"/>
        <w:numPr>
          <w:ilvl w:val="0"/>
          <w:numId w:val="15"/>
        </w:numPr>
        <w:ind w:left="426"/>
        <w:contextualSpacing/>
        <w:jc w:val="both"/>
        <w:outlineLvl w:val="0"/>
        <w:rPr>
          <w:rFonts w:asciiTheme="majorHAnsi" w:hAnsiTheme="majorHAnsi"/>
        </w:rPr>
      </w:pPr>
      <w:r w:rsidRPr="008B520F">
        <w:rPr>
          <w:rFonts w:asciiTheme="majorHAnsi" w:hAnsiTheme="majorHAnsi"/>
        </w:rPr>
        <w:t>Para realizar la solicitud de</w:t>
      </w:r>
      <w:r w:rsidRPr="008B520F" w:rsidR="00612DC3">
        <w:rPr>
          <w:rFonts w:asciiTheme="majorHAnsi" w:hAnsiTheme="majorHAnsi"/>
        </w:rPr>
        <w:t xml:space="preserve"> desinscripción de conformidad con lo establecido en el Acuerdo SUGEF 11-18, el medio dispuesto por la SUGEF  para presentar la solicitud y la documentación correspondiente</w:t>
      </w:r>
      <w:r w:rsidRPr="008B520F">
        <w:rPr>
          <w:rFonts w:asciiTheme="majorHAnsi" w:hAnsiTheme="majorHAnsi"/>
        </w:rPr>
        <w:t>,</w:t>
      </w:r>
      <w:r w:rsidRPr="008B520F" w:rsidR="00612DC3">
        <w:rPr>
          <w:rFonts w:asciiTheme="majorHAnsi" w:hAnsiTheme="majorHAnsi"/>
        </w:rPr>
        <w:t xml:space="preserve"> es a través de la ventanilla de correspondencia de la SUGEF.</w:t>
      </w:r>
    </w:p>
    <w:p w:rsidRPr="008B520F" w:rsidR="00612DC3" w:rsidP="00612DC3" w:rsidRDefault="00612DC3" w14:paraId="70EC5D4C" w14:textId="77777777">
      <w:pPr>
        <w:pStyle w:val="Prrafodelista"/>
        <w:ind w:left="720"/>
        <w:rPr>
          <w:rFonts w:asciiTheme="majorHAnsi" w:hAnsiTheme="majorHAnsi"/>
        </w:rPr>
      </w:pPr>
    </w:p>
    <w:p w:rsidRPr="008B520F" w:rsidR="00612DC3" w:rsidP="00612DC3" w:rsidRDefault="00612DC3" w14:paraId="36C41F67" w14:textId="77777777">
      <w:pPr>
        <w:pStyle w:val="Prrafodelista"/>
        <w:numPr>
          <w:ilvl w:val="0"/>
          <w:numId w:val="15"/>
        </w:numPr>
        <w:ind w:left="426"/>
        <w:contextualSpacing/>
        <w:jc w:val="both"/>
        <w:outlineLvl w:val="0"/>
        <w:rPr>
          <w:rFonts w:asciiTheme="majorHAnsi" w:hAnsiTheme="majorHAnsi"/>
          <w:b/>
        </w:rPr>
      </w:pPr>
      <w:r w:rsidRPr="008B520F">
        <w:rPr>
          <w:rFonts w:asciiTheme="majorHAnsi" w:hAnsiTheme="majorHAnsi"/>
        </w:rPr>
        <w:t xml:space="preserve">El medio habilitado por la SUGEF para la publicación del </w:t>
      </w:r>
      <w:r w:rsidRPr="008B520F">
        <w:rPr>
          <w:rFonts w:eastAsia="Calibri" w:asciiTheme="majorHAnsi" w:hAnsiTheme="majorHAnsi"/>
          <w:lang w:eastAsia="en-US"/>
        </w:rPr>
        <w:t>registro de inscripciones, suspensiones, desinscripciones, revocaciones, y de los que se nieguen a inscribirse ante la SUGEF, es el sitio web de la SUGEF</w:t>
      </w:r>
      <w:r w:rsidRPr="008B520F">
        <w:rPr>
          <w:rFonts w:asciiTheme="majorHAnsi" w:hAnsiTheme="majorHAnsi"/>
        </w:rPr>
        <w:t xml:space="preserve">, ubicado en la siguiente dirección electrónica: </w:t>
      </w:r>
      <w:hyperlink w:history="1" r:id="rId15">
        <w:r w:rsidRPr="008B520F">
          <w:rPr>
            <w:rStyle w:val="Hipervnculo"/>
            <w:rFonts w:asciiTheme="majorHAnsi" w:hAnsiTheme="majorHAnsi"/>
          </w:rPr>
          <w:t>www.sugef.fi.cr</w:t>
        </w:r>
      </w:hyperlink>
      <w:r w:rsidRPr="008B520F">
        <w:rPr>
          <w:rFonts w:asciiTheme="majorHAnsi" w:hAnsiTheme="majorHAnsi"/>
        </w:rPr>
        <w:t>.</w:t>
      </w:r>
    </w:p>
    <w:p w:rsidRPr="008B520F" w:rsidR="00612DC3" w:rsidP="00612DC3" w:rsidRDefault="00612DC3" w14:paraId="1CF57063" w14:textId="77777777">
      <w:pPr>
        <w:rPr>
          <w:rFonts w:asciiTheme="majorHAnsi" w:hAnsiTheme="majorHAnsi"/>
          <w:b/>
        </w:rPr>
      </w:pPr>
    </w:p>
    <w:p w:rsidRPr="008B520F" w:rsidR="00A43A12" w:rsidP="00A43A12" w:rsidRDefault="00612DC3" w14:paraId="034B5268" w14:textId="77777777">
      <w:pPr>
        <w:pStyle w:val="Prrafodelista"/>
        <w:numPr>
          <w:ilvl w:val="0"/>
          <w:numId w:val="15"/>
        </w:numPr>
        <w:ind w:left="426"/>
        <w:contextualSpacing/>
        <w:jc w:val="both"/>
        <w:outlineLvl w:val="0"/>
        <w:rPr>
          <w:rFonts w:asciiTheme="majorHAnsi" w:hAnsiTheme="majorHAnsi"/>
          <w:b/>
        </w:rPr>
      </w:pPr>
      <w:r w:rsidRPr="008B520F">
        <w:rPr>
          <w:rFonts w:asciiTheme="majorHAnsi" w:hAnsiTheme="majorHAnsi"/>
        </w:rPr>
        <w:t>Los sujetos obligados por los artículos 15 y 15 bis de la Ley 7786, deberán usar cuentas exclusivas para la acti</w:t>
      </w:r>
      <w:r w:rsidRPr="008B520F" w:rsidR="00434256">
        <w:rPr>
          <w:rFonts w:asciiTheme="majorHAnsi" w:hAnsiTheme="majorHAnsi"/>
        </w:rPr>
        <w:t>vidad por la que fueron inscrito</w:t>
      </w:r>
      <w:r w:rsidRPr="008B520F">
        <w:rPr>
          <w:rFonts w:asciiTheme="majorHAnsi" w:hAnsiTheme="majorHAnsi"/>
        </w:rPr>
        <w:t xml:space="preserve">s en </w:t>
      </w:r>
      <w:r w:rsidRPr="008B520F" w:rsidR="00434256">
        <w:rPr>
          <w:rFonts w:asciiTheme="majorHAnsi" w:hAnsiTheme="majorHAnsi"/>
        </w:rPr>
        <w:t xml:space="preserve">la </w:t>
      </w:r>
      <w:r w:rsidRPr="008B520F">
        <w:rPr>
          <w:rFonts w:asciiTheme="majorHAnsi" w:hAnsiTheme="majorHAnsi"/>
        </w:rPr>
        <w:t>SUGEF.</w:t>
      </w:r>
    </w:p>
    <w:p w:rsidRPr="008B520F" w:rsidR="00A43A12" w:rsidP="00A43A12" w:rsidRDefault="00A43A12" w14:paraId="06D51D2C" w14:textId="77777777">
      <w:pPr>
        <w:pStyle w:val="Prrafodelista"/>
        <w:rPr>
          <w:rFonts w:asciiTheme="majorHAnsi" w:hAnsiTheme="majorHAnsi"/>
        </w:rPr>
      </w:pPr>
    </w:p>
    <w:p w:rsidRPr="008B520F" w:rsidR="00A43A12" w:rsidP="00B820C3" w:rsidRDefault="004C05D6" w14:paraId="33181CAF" w14:textId="79F3FD03">
      <w:pPr>
        <w:pStyle w:val="Prrafodelista"/>
        <w:numPr>
          <w:ilvl w:val="0"/>
          <w:numId w:val="15"/>
        </w:numPr>
        <w:ind w:left="426" w:hanging="284"/>
        <w:contextualSpacing/>
        <w:jc w:val="both"/>
        <w:outlineLvl w:val="0"/>
        <w:rPr>
          <w:rFonts w:asciiTheme="majorHAnsi" w:hAnsiTheme="majorHAnsi"/>
        </w:rPr>
      </w:pPr>
      <w:r w:rsidRPr="008B520F">
        <w:rPr>
          <w:rFonts w:asciiTheme="majorHAnsi" w:hAnsiTheme="majorHAnsi"/>
        </w:rPr>
        <w:t>L</w:t>
      </w:r>
      <w:r w:rsidRPr="008B520F" w:rsidR="00A43A12">
        <w:rPr>
          <w:rFonts w:asciiTheme="majorHAnsi" w:hAnsiTheme="majorHAnsi"/>
        </w:rPr>
        <w:t xml:space="preserve">as Organizaciones sin Fines de Lucro </w:t>
      </w:r>
      <w:r w:rsidRPr="008B520F">
        <w:rPr>
          <w:rFonts w:asciiTheme="majorHAnsi" w:hAnsiTheme="majorHAnsi"/>
        </w:rPr>
        <w:t xml:space="preserve">que deben realizar su inscripción ante la SUGEF, </w:t>
      </w:r>
      <w:r w:rsidRPr="008B520F" w:rsidR="00A43A12">
        <w:rPr>
          <w:rFonts w:asciiTheme="majorHAnsi" w:hAnsiTheme="majorHAnsi"/>
        </w:rPr>
        <w:t>de acuerdo con lo establecido en el Artículo 5 del “</w:t>
      </w:r>
      <w:r w:rsidRPr="008B520F" w:rsidR="001218FE">
        <w:rPr>
          <w:rFonts w:asciiTheme="majorHAnsi" w:hAnsiTheme="majorHAnsi"/>
        </w:rPr>
        <w:t>R</w:t>
      </w:r>
      <w:r w:rsidRPr="008B520F" w:rsidR="00A43A12">
        <w:rPr>
          <w:rFonts w:asciiTheme="majorHAnsi" w:hAnsiTheme="majorHAnsi"/>
          <w:i/>
          <w:szCs w:val="22"/>
        </w:rPr>
        <w:t>eglamento para la inscripción y desinscripción ante la SUGEF</w:t>
      </w:r>
      <w:r w:rsidRPr="008B520F" w:rsidR="001218FE">
        <w:rPr>
          <w:rFonts w:asciiTheme="majorHAnsi" w:hAnsiTheme="majorHAnsi"/>
          <w:i/>
          <w:szCs w:val="22"/>
        </w:rPr>
        <w:t>…”</w:t>
      </w:r>
      <w:r w:rsidRPr="008B520F" w:rsidR="00A43A12">
        <w:rPr>
          <w:rFonts w:asciiTheme="majorHAnsi" w:hAnsiTheme="majorHAnsi"/>
        </w:rPr>
        <w:t xml:space="preserve">, </w:t>
      </w:r>
      <w:r w:rsidRPr="008B520F">
        <w:rPr>
          <w:rFonts w:asciiTheme="majorHAnsi" w:hAnsiTheme="majorHAnsi"/>
        </w:rPr>
        <w:t>son aquellas que tienen relación con</w:t>
      </w:r>
      <w:r w:rsidRPr="008B520F" w:rsidR="00A43A12">
        <w:rPr>
          <w:rFonts w:asciiTheme="majorHAnsi" w:hAnsiTheme="majorHAnsi"/>
        </w:rPr>
        <w:t xml:space="preserve"> los países designados por el Grupo de Acción Financiera Internacional (GAFI) y por la Organización de las Naciones Unidas (ONU)</w:t>
      </w:r>
      <w:r w:rsidRPr="008B520F">
        <w:rPr>
          <w:rFonts w:asciiTheme="majorHAnsi" w:hAnsiTheme="majorHAnsi"/>
        </w:rPr>
        <w:t>; así como las que mantienen relaciones</w:t>
      </w:r>
      <w:r w:rsidRPr="008B520F" w:rsidR="00A43A12">
        <w:rPr>
          <w:rFonts w:asciiTheme="majorHAnsi" w:hAnsiTheme="majorHAnsi"/>
        </w:rPr>
        <w:t xml:space="preserve"> </w:t>
      </w:r>
      <w:r w:rsidRPr="008B520F">
        <w:rPr>
          <w:rFonts w:asciiTheme="majorHAnsi" w:hAnsiTheme="majorHAnsi"/>
        </w:rPr>
        <w:t>con</w:t>
      </w:r>
      <w:r w:rsidRPr="008B520F" w:rsidR="00A43A12">
        <w:rPr>
          <w:rFonts w:asciiTheme="majorHAnsi" w:hAnsiTheme="majorHAnsi"/>
        </w:rPr>
        <w:t xml:space="preserve"> países </w:t>
      </w:r>
      <w:r w:rsidRPr="008B520F">
        <w:rPr>
          <w:rFonts w:asciiTheme="majorHAnsi" w:hAnsiTheme="majorHAnsi"/>
        </w:rPr>
        <w:t>de riesgo vinculados</w:t>
      </w:r>
      <w:r w:rsidRPr="008B520F" w:rsidR="00A43A12">
        <w:rPr>
          <w:rFonts w:asciiTheme="majorHAnsi" w:hAnsiTheme="majorHAnsi"/>
        </w:rPr>
        <w:t xml:space="preserve"> con el fenómeno terrorista, </w:t>
      </w:r>
      <w:r w:rsidRPr="008B520F">
        <w:rPr>
          <w:rFonts w:asciiTheme="majorHAnsi" w:hAnsiTheme="majorHAnsi"/>
        </w:rPr>
        <w:t xml:space="preserve">para lo que </w:t>
      </w:r>
      <w:r w:rsidRPr="008B520F" w:rsidR="00A43A12">
        <w:rPr>
          <w:rFonts w:asciiTheme="majorHAnsi" w:hAnsiTheme="majorHAnsi"/>
        </w:rPr>
        <w:t>se pueden consultar informes emitidos por el Fondo Monetario Internacional, por el Banco Mundial, por la Oficina de Control de Activos Extranjeros de los Estados Unidos de América (OFAC)</w:t>
      </w:r>
      <w:r w:rsidRPr="008B520F" w:rsidR="00606D45">
        <w:rPr>
          <w:rFonts w:asciiTheme="majorHAnsi" w:hAnsiTheme="majorHAnsi"/>
        </w:rPr>
        <w:t>,</w:t>
      </w:r>
      <w:r w:rsidRPr="008B520F" w:rsidR="00A43A12">
        <w:rPr>
          <w:rFonts w:asciiTheme="majorHAnsi" w:hAnsiTheme="majorHAnsi"/>
        </w:rPr>
        <w:t xml:space="preserve"> y en particular los informes anuales del Índice Global de Terrorismo, entre otros.</w:t>
      </w:r>
    </w:p>
    <w:p w:rsidRPr="008B520F" w:rsidR="007A3CAC" w:rsidP="007A3CAC" w:rsidRDefault="007A3CAC" w14:paraId="54E1719F" w14:textId="77777777">
      <w:pPr>
        <w:spacing w:line="240" w:lineRule="auto"/>
        <w:jc w:val="left"/>
        <w:outlineLvl w:val="0"/>
        <w:rPr>
          <w:rFonts w:asciiTheme="majorHAnsi" w:hAnsiTheme="majorHAnsi"/>
          <w:sz w:val="24"/>
        </w:rPr>
      </w:pPr>
    </w:p>
    <w:p w:rsidRPr="008B520F" w:rsidR="00F47A27" w:rsidP="007A3CAC" w:rsidRDefault="00F47A27" w14:paraId="6E9F0404" w14:textId="70A9B430">
      <w:pPr>
        <w:spacing w:line="240" w:lineRule="auto"/>
        <w:jc w:val="left"/>
        <w:outlineLvl w:val="0"/>
        <w:rPr>
          <w:rFonts w:asciiTheme="majorHAnsi" w:hAnsiTheme="majorHAnsi"/>
          <w:sz w:val="24"/>
        </w:rPr>
      </w:pPr>
    </w:p>
    <w:p w:rsidRPr="008B520F" w:rsidR="0071134B" w:rsidP="00D26EDE" w:rsidRDefault="0071134B" w14:paraId="67D0C517" w14:textId="6F5E851A">
      <w:pPr>
        <w:pStyle w:val="Texto0"/>
        <w:spacing w:before="0" w:after="0" w:line="240" w:lineRule="auto"/>
        <w:rPr>
          <w:rFonts w:asciiTheme="majorHAnsi" w:hAnsiTheme="majorHAnsi"/>
          <w:sz w:val="24"/>
        </w:rPr>
      </w:pPr>
      <w:r w:rsidRPr="008B520F">
        <w:rPr>
          <w:rFonts w:asciiTheme="majorHAnsi" w:hAnsiTheme="majorHAnsi"/>
          <w:sz w:val="24"/>
        </w:rPr>
        <w:t>Atentamente,</w:t>
      </w:r>
    </w:p>
    <w:p w:rsidRPr="008B520F" w:rsidR="00F47A27" w:rsidP="00D26EDE" w:rsidRDefault="00F47A27" w14:paraId="1C70C918" w14:textId="182516CE">
      <w:pPr>
        <w:pStyle w:val="Texto0"/>
        <w:spacing w:before="0" w:after="0" w:line="240" w:lineRule="auto"/>
        <w:rPr>
          <w:rFonts w:asciiTheme="majorHAnsi" w:hAnsiTheme="majorHAnsi"/>
          <w:sz w:val="24"/>
        </w:rPr>
      </w:pPr>
      <w:r w:rsidRPr="008B520F">
        <w:rPr>
          <w:rFonts w:asciiTheme="majorHAnsi" w:hAnsiTheme="majorHAnsi"/>
          <w:noProof/>
          <w:lang w:val="es-MX" w:eastAsia="es-MX"/>
        </w:rPr>
        <w:drawing>
          <wp:anchor distT="0" distB="0" distL="114300" distR="114300" simplePos="0" relativeHeight="251658240" behindDoc="1" locked="0" layoutInCell="1" allowOverlap="1" wp14:editId="3E088735" wp14:anchorId="4536A630">
            <wp:simplePos x="0" y="0"/>
            <wp:positionH relativeFrom="column">
              <wp:posOffset>-144780</wp:posOffset>
            </wp:positionH>
            <wp:positionV relativeFrom="paragraph">
              <wp:posOffset>177165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8B520F" w:rsidR="000F34AE" w:rsidP="00D26EDE" w:rsidRDefault="000F34AE" w14:paraId="4F25E583" w14:textId="7187EFB6">
      <w:pPr>
        <w:spacing w:line="240" w:lineRule="auto"/>
        <w:rPr>
          <w:rFonts w:asciiTheme="majorHAnsi" w:hAnsiTheme="majorHAnsi"/>
          <w:sz w:val="24"/>
        </w:rPr>
      </w:pPr>
    </w:p>
    <w:p w:rsidRPr="008B520F" w:rsidR="00041BDD" w:rsidP="00D26EDE" w:rsidRDefault="00041BDD" w14:paraId="41B30CFF" w14:textId="77777777">
      <w:pPr>
        <w:spacing w:line="240" w:lineRule="auto"/>
        <w:rPr>
          <w:rFonts w:asciiTheme="majorHAnsi" w:hAnsiTheme="majorHAnsi"/>
          <w:sz w:val="24"/>
        </w:rPr>
      </w:pPr>
    </w:p>
    <w:p w:rsidRPr="008B520F" w:rsidR="002E7270" w:rsidP="0063474B" w:rsidRDefault="002E7270" w14:paraId="60EE26D9" w14:textId="77777777">
      <w:pPr>
        <w:jc w:val="left"/>
        <w:rPr>
          <w:rFonts w:asciiTheme="majorHAnsi" w:hAnsiTheme="majorHAnsi"/>
          <w:sz w:val="24"/>
        </w:rPr>
      </w:pPr>
    </w:p>
    <w:p w:rsidRPr="008B520F" w:rsidR="0063474B" w:rsidP="0063474B" w:rsidRDefault="0063474B" w14:paraId="0D066416" w14:textId="77777777">
      <w:pPr>
        <w:jc w:val="left"/>
        <w:rPr>
          <w:rFonts w:asciiTheme="majorHAnsi" w:hAnsiTheme="majorHAnsi"/>
          <w:sz w:val="24"/>
        </w:rPr>
      </w:pPr>
      <w:r w:rsidRPr="008B520F">
        <w:rPr>
          <w:rFonts w:asciiTheme="majorHAnsi" w:hAnsiTheme="majorHAnsi"/>
          <w:sz w:val="24"/>
        </w:rPr>
        <w:t>Bernardo Alfaro A.</w:t>
      </w:r>
      <w:r w:rsidRPr="008B520F">
        <w:rPr>
          <w:rFonts w:asciiTheme="majorHAnsi" w:hAnsiTheme="majorHAnsi"/>
          <w:sz w:val="24"/>
        </w:rPr>
        <w:br/>
      </w:r>
      <w:r w:rsidRPr="008B520F">
        <w:rPr>
          <w:rFonts w:asciiTheme="majorHAnsi" w:hAnsiTheme="majorHAnsi"/>
          <w:b/>
          <w:sz w:val="24"/>
        </w:rPr>
        <w:t>Superintendente</w:t>
      </w:r>
    </w:p>
    <w:p w:rsidR="00F47A27" w:rsidP="0085692C" w:rsidRDefault="00F47A27" w14:paraId="0B69983C" w14:textId="77777777">
      <w:pPr>
        <w:pStyle w:val="Negrita"/>
        <w:rPr>
          <w:b w:val="0"/>
          <w:sz w:val="18"/>
          <w:szCs w:val="18"/>
        </w:rPr>
      </w:pPr>
    </w:p>
    <w:p w:rsidR="002E7270" w:rsidP="0085692C" w:rsidRDefault="002E7270" w14:paraId="15BD7B91" w14:textId="77777777">
      <w:pPr>
        <w:pStyle w:val="Negrita"/>
        <w:rPr>
          <w:b w:val="0"/>
          <w:sz w:val="18"/>
          <w:szCs w:val="18"/>
        </w:rPr>
      </w:pPr>
    </w:p>
    <w:p w:rsidR="008B520F" w:rsidP="008B520F" w:rsidRDefault="008B520F" w14:paraId="3A0D4D96" w14:textId="77777777">
      <w:pPr>
        <w:pStyle w:val="Negrita"/>
        <w:spacing w:line="240" w:lineRule="auto"/>
        <w:rPr>
          <w:b w:val="0"/>
          <w:sz w:val="18"/>
          <w:szCs w:val="18"/>
        </w:rPr>
      </w:pPr>
    </w:p>
    <w:p w:rsidR="00F47A27" w:rsidP="008B520F" w:rsidRDefault="002E7270" w14:paraId="1910339C" w14:textId="33FA195A">
      <w:pPr>
        <w:pStyle w:val="Negrita"/>
        <w:spacing w:line="240" w:lineRule="auto"/>
        <w:rPr>
          <w:b w:val="0"/>
          <w:sz w:val="18"/>
          <w:szCs w:val="18"/>
        </w:rPr>
      </w:pPr>
      <w:r>
        <w:rPr>
          <w:b w:val="0"/>
          <w:sz w:val="18"/>
          <w:szCs w:val="18"/>
        </w:rPr>
        <w:t>C: SUGEVAL, SUPEN Y SUGESE</w:t>
      </w:r>
    </w:p>
    <w:p w:rsidR="002E7270" w:rsidP="008B520F" w:rsidRDefault="002E7270" w14:paraId="40811B1E" w14:textId="712E3BEA">
      <w:pPr>
        <w:pStyle w:val="Negrita"/>
        <w:spacing w:line="240" w:lineRule="auto"/>
        <w:rPr>
          <w:b w:val="0"/>
          <w:sz w:val="18"/>
          <w:szCs w:val="18"/>
        </w:rPr>
      </w:pPr>
      <w:r>
        <w:rPr>
          <w:b w:val="0"/>
          <w:sz w:val="18"/>
          <w:szCs w:val="18"/>
        </w:rPr>
        <w:t xml:space="preserve">    Unidad de Inteligencia Financiera del ICD.</w:t>
      </w:r>
    </w:p>
    <w:p w:rsidR="00F47A27" w:rsidP="0085692C" w:rsidRDefault="00F47A27" w14:paraId="403A16BB" w14:textId="77777777">
      <w:pPr>
        <w:pStyle w:val="Negrita"/>
        <w:rPr>
          <w:b w:val="0"/>
          <w:sz w:val="18"/>
          <w:szCs w:val="18"/>
        </w:rPr>
      </w:pPr>
    </w:p>
    <w:p w:rsidR="002E7270" w:rsidP="0085692C" w:rsidRDefault="002E7270" w14:paraId="2557E9FA" w14:textId="77777777">
      <w:pPr>
        <w:pStyle w:val="Negrita"/>
        <w:rPr>
          <w:b w:val="0"/>
          <w:sz w:val="18"/>
          <w:szCs w:val="18"/>
        </w:rPr>
      </w:pPr>
    </w:p>
    <w:p w:rsidR="00577A95" w:rsidP="0085692C" w:rsidRDefault="00606D45" w14:paraId="63E4AEDC" w14:textId="3D051EE7">
      <w:pPr>
        <w:pStyle w:val="Negrita"/>
      </w:pPr>
      <w:r w:rsidRPr="00606D45">
        <w:rPr>
          <w:b w:val="0"/>
          <w:sz w:val="18"/>
          <w:szCs w:val="18"/>
        </w:rPr>
        <w:t>BAA/</w:t>
      </w:r>
      <w:r>
        <w:rPr>
          <w:b w:val="0"/>
          <w:sz w:val="18"/>
          <w:szCs w:val="18"/>
        </w:rPr>
        <w:t>RCA/CSQ</w:t>
      </w:r>
    </w:p>
    <w:sectPr w:rsidR="00577A95" w:rsidSect="005739A8">
      <w:headerReference w:type="default" r:id="rId17"/>
      <w:footerReference w:type="default" r:id="rId18"/>
      <w:headerReference w:type="first" r:id="rId19"/>
      <w:footerReference w:type="first" r:id="rId20"/>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3D3F5" w14:textId="77777777" w:rsidR="007A3CAC" w:rsidRDefault="007A3CAC" w:rsidP="00D43D57">
      <w:r>
        <w:separator/>
      </w:r>
    </w:p>
  </w:endnote>
  <w:endnote w:type="continuationSeparator" w:id="0">
    <w:p w14:paraId="3D865266" w14:textId="77777777" w:rsidR="007A3CAC" w:rsidRDefault="007A3CAC"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09834687"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4F1F6752" w14:textId="77777777">
      <w:trPr>
        <w:trHeight w:val="546"/>
      </w:trPr>
      <w:tc>
        <w:tcPr>
          <w:tcW w:w="3189" w:type="dxa"/>
          <w:shd w:val="clear" w:color="auto" w:fill="FFFFFF"/>
          <w:vAlign w:val="center"/>
        </w:tcPr>
        <w:p w:rsidR="008F1461" w:rsidP="000C62BB" w:rsidRDefault="008F1461" w14:paraId="0C35673D" w14:textId="77777777">
          <w:pPr>
            <w:pStyle w:val="Piepagina"/>
          </w:pPr>
          <w:r>
            <w:rPr>
              <w:b/>
              <w:bCs/>
            </w:rPr>
            <w:t>Teléfono</w:t>
          </w:r>
          <w:r>
            <w:t xml:space="preserve">   (506) 2243-4848</w:t>
          </w:r>
        </w:p>
        <w:p w:rsidR="008F1461" w:rsidP="000C62BB" w:rsidRDefault="008F1461" w14:paraId="77C6397E"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0A9888AB" w14:textId="77777777">
          <w:pPr>
            <w:pStyle w:val="Piepagina"/>
          </w:pPr>
          <w:r>
            <w:rPr>
              <w:b/>
              <w:bCs/>
            </w:rPr>
            <w:t>Apartado</w:t>
          </w:r>
          <w:r>
            <w:t xml:space="preserve"> 2762-1000</w:t>
          </w:r>
        </w:p>
        <w:p w:rsidR="008F1461" w:rsidP="000C62BB" w:rsidRDefault="008F1461" w14:paraId="18BFBF32" w14:textId="77777777">
          <w:pPr>
            <w:pStyle w:val="Piepagina"/>
          </w:pPr>
          <w:r>
            <w:t>San José, Costa Rica</w:t>
          </w:r>
        </w:p>
      </w:tc>
      <w:tc>
        <w:tcPr>
          <w:tcW w:w="2410" w:type="dxa"/>
          <w:shd w:val="clear" w:color="auto" w:fill="FFFFFF"/>
          <w:vAlign w:val="center"/>
        </w:tcPr>
        <w:p w:rsidR="008F1461" w:rsidP="000C62BB" w:rsidRDefault="008F1461" w14:paraId="0F16A80D" w14:textId="77777777">
          <w:pPr>
            <w:pStyle w:val="Piepagina"/>
          </w:pPr>
          <w:r>
            <w:t>www.sugef.fi.cr</w:t>
          </w:r>
        </w:p>
        <w:p w:rsidR="008F1461" w:rsidP="000C62BB" w:rsidRDefault="008F1461" w14:paraId="7339A7C0" w14:textId="77777777">
          <w:pPr>
            <w:pStyle w:val="Piepagina"/>
          </w:pPr>
          <w:r>
            <w:t>sugefcr@sugef.fi.cr</w:t>
          </w:r>
        </w:p>
      </w:tc>
      <w:tc>
        <w:tcPr>
          <w:tcW w:w="260" w:type="dxa"/>
          <w:shd w:val="clear" w:color="auto" w:fill="FFFFFF"/>
        </w:tcPr>
        <w:p w:rsidR="008F1461" w:rsidP="000C62BB" w:rsidRDefault="008F1461" w14:paraId="05E57753" w14:textId="77777777">
          <w:pPr>
            <w:pStyle w:val="Piepagina"/>
          </w:pPr>
          <w:r>
            <w:fldChar w:fldCharType="begin"/>
          </w:r>
          <w:r>
            <w:instrText>PAGE   \* MERGEFORMAT</w:instrText>
          </w:r>
          <w:r>
            <w:fldChar w:fldCharType="separate"/>
          </w:r>
          <w:r w:rsidR="00D1330E">
            <w:rPr>
              <w:noProof/>
            </w:rPr>
            <w:t>5</w:t>
          </w:r>
          <w:r>
            <w:fldChar w:fldCharType="end"/>
          </w:r>
        </w:p>
      </w:tc>
    </w:tr>
  </w:tbl>
  <w:p w:rsidRPr="000C62BB" w:rsidR="00590F07" w:rsidRDefault="00590F07" w14:paraId="02CB892A" w14:textId="77777777">
    <w:pPr>
      <w:pStyle w:val="Piedepgina"/>
      <w:jc w:val="right"/>
      <w:rPr>
        <w:color w:val="969696"/>
        <w:sz w:val="20"/>
        <w:szCs w:val="20"/>
      </w:rPr>
    </w:pPr>
  </w:p>
  <w:p w:rsidR="001C075B" w:rsidP="00FA54DF" w:rsidRDefault="001C075B" w14:paraId="5559B19A"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7361FCB8" w14:textId="77777777">
    <w:pPr>
      <w:pStyle w:val="Piepagina"/>
      <w:jc w:val="center"/>
    </w:pPr>
    <w:r>
      <w:rPr>
        <w:noProof/>
        <w:lang w:val="es-MX" w:eastAsia="es-MX"/>
      </w:rPr>
      <w:drawing>
        <wp:anchor distT="0" distB="0" distL="114300" distR="114300" simplePos="0" relativeHeight="251669504" behindDoc="1" locked="0" layoutInCell="1" allowOverlap="1" wp14:editId="72C24BF6" wp14:anchorId="27729B73">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MX" w:eastAsia="es-MX"/>
      </w:rPr>
      <mc:AlternateContent>
        <mc:Choice Requires="wps">
          <w:drawing>
            <wp:anchor distT="0" distB="0" distL="114300" distR="114300" simplePos="0" relativeHeight="251670528" behindDoc="0" locked="0" layoutInCell="1" allowOverlap="1" wp14:editId="64221CF9" wp14:anchorId="22E91D9F">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0BBE6FDA" w14:textId="77777777">
                          <w:pPr>
                            <w:rPr>
                              <w:color w:val="003A68"/>
                              <w:sz w:val="14"/>
                              <w:szCs w:val="14"/>
                            </w:rPr>
                          </w:pPr>
                          <w:r w:rsidRPr="00FA54DF">
                            <w:rPr>
                              <w:color w:val="003A68"/>
                              <w:sz w:val="14"/>
                              <w:szCs w:val="14"/>
                            </w:rPr>
                            <w:t xml:space="preserve">T. (506) 2243-3631   </w:t>
                          </w:r>
                        </w:p>
                        <w:p w:rsidRPr="00FA54DF" w:rsidR="001C075B" w:rsidRDefault="001C075B" w14:paraId="23D5A72F" w14:textId="77777777">
                          <w:pPr>
                            <w:rPr>
                              <w:color w:val="003A68"/>
                              <w:sz w:val="14"/>
                              <w:szCs w:val="14"/>
                            </w:rPr>
                          </w:pPr>
                          <w:r w:rsidRPr="00FA54DF">
                            <w:rPr>
                              <w:color w:val="003A68"/>
                              <w:sz w:val="14"/>
                              <w:szCs w:val="14"/>
                            </w:rPr>
                            <w:t xml:space="preserve">F. (506) 2243-4579   </w:t>
                          </w:r>
                        </w:p>
                        <w:p w:rsidR="001C075B" w:rsidRDefault="001C075B" w14:paraId="567B7743" w14:textId="77777777">
                          <w:pPr>
                            <w:rPr>
                              <w:color w:val="003A68"/>
                              <w:sz w:val="14"/>
                              <w:szCs w:val="14"/>
                            </w:rPr>
                          </w:pPr>
                          <w:r w:rsidRPr="00FA54DF">
                            <w:rPr>
                              <w:color w:val="003A68"/>
                              <w:sz w:val="14"/>
                              <w:szCs w:val="14"/>
                            </w:rPr>
                            <w:t>Apdo. 10058-1000</w:t>
                          </w:r>
                        </w:p>
                        <w:p w:rsidR="001C075B" w:rsidRDefault="001C075B" w14:paraId="599B203A" w14:textId="77777777">
                          <w:pPr>
                            <w:rPr>
                              <w:color w:val="003A68"/>
                              <w:sz w:val="14"/>
                              <w:szCs w:val="14"/>
                            </w:rPr>
                          </w:pPr>
                          <w:r w:rsidRPr="00FA54DF">
                            <w:rPr>
                              <w:color w:val="003A68"/>
                              <w:sz w:val="14"/>
                              <w:szCs w:val="14"/>
                            </w:rPr>
                            <w:t>Av. 1 y Central, Calles 2 y 4</w:t>
                          </w:r>
                        </w:p>
                        <w:p w:rsidRPr="00FA54DF" w:rsidR="001C075B" w:rsidRDefault="001C075B" w14:paraId="2F303793"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2E91D9F">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0BBE6FDA" w14:textId="77777777">
                    <w:pPr>
                      <w:rPr>
                        <w:color w:val="003A68"/>
                        <w:sz w:val="14"/>
                        <w:szCs w:val="14"/>
                      </w:rPr>
                    </w:pPr>
                    <w:r w:rsidRPr="00FA54DF">
                      <w:rPr>
                        <w:color w:val="003A68"/>
                        <w:sz w:val="14"/>
                        <w:szCs w:val="14"/>
                      </w:rPr>
                      <w:t xml:space="preserve">T. (506) 2243-3631   </w:t>
                    </w:r>
                  </w:p>
                  <w:p w:rsidRPr="00FA54DF" w:rsidR="001C075B" w:rsidRDefault="001C075B" w14:paraId="23D5A72F" w14:textId="77777777">
                    <w:pPr>
                      <w:rPr>
                        <w:color w:val="003A68"/>
                        <w:sz w:val="14"/>
                        <w:szCs w:val="14"/>
                      </w:rPr>
                    </w:pPr>
                    <w:r w:rsidRPr="00FA54DF">
                      <w:rPr>
                        <w:color w:val="003A68"/>
                        <w:sz w:val="14"/>
                        <w:szCs w:val="14"/>
                      </w:rPr>
                      <w:t xml:space="preserve">F. (506) 2243-4579   </w:t>
                    </w:r>
                  </w:p>
                  <w:p w:rsidR="001C075B" w:rsidRDefault="001C075B" w14:paraId="567B7743" w14:textId="77777777">
                    <w:pPr>
                      <w:rPr>
                        <w:color w:val="003A68"/>
                        <w:sz w:val="14"/>
                        <w:szCs w:val="14"/>
                      </w:rPr>
                    </w:pPr>
                    <w:r w:rsidRPr="00FA54DF">
                      <w:rPr>
                        <w:color w:val="003A68"/>
                        <w:sz w:val="14"/>
                        <w:szCs w:val="14"/>
                      </w:rPr>
                      <w:t>Apdo. 10058-1000</w:t>
                    </w:r>
                  </w:p>
                  <w:p w:rsidR="001C075B" w:rsidRDefault="001C075B" w14:paraId="599B203A" w14:textId="77777777">
                    <w:pPr>
                      <w:rPr>
                        <w:color w:val="003A68"/>
                        <w:sz w:val="14"/>
                        <w:szCs w:val="14"/>
                      </w:rPr>
                    </w:pPr>
                    <w:r w:rsidRPr="00FA54DF">
                      <w:rPr>
                        <w:color w:val="003A68"/>
                        <w:sz w:val="14"/>
                        <w:szCs w:val="14"/>
                      </w:rPr>
                      <w:t>Av. 1 y Central, Calles 2 y 4</w:t>
                    </w:r>
                  </w:p>
                  <w:p w:rsidRPr="00FA54DF" w:rsidR="001C075B" w:rsidRDefault="001C075B" w14:paraId="2F303793" w14:textId="77777777">
                    <w:pPr>
                      <w:rPr>
                        <w:color w:val="003A68"/>
                        <w:sz w:val="14"/>
                        <w:szCs w:val="14"/>
                      </w:rPr>
                    </w:pPr>
                  </w:p>
                </w:txbxContent>
              </v:textbox>
            </v:shape>
          </w:pict>
        </mc:Fallback>
      </mc:AlternateContent>
    </w:r>
  </w:p>
  <w:p w:rsidRPr="00D43D57" w:rsidR="001C075B" w:rsidP="008C0BF0" w:rsidRDefault="001C075B" w14:paraId="112926EB" w14:textId="77777777">
    <w:pPr>
      <w:pStyle w:val="Piepagina"/>
      <w:jc w:val="center"/>
    </w:pPr>
  </w:p>
  <w:p w:rsidR="001C075B" w:rsidRDefault="001C075B" w14:paraId="72C6B373"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0E3B6" w14:textId="77777777" w:rsidR="007A3CAC" w:rsidRDefault="007A3CAC" w:rsidP="00D43D57">
      <w:r>
        <w:separator/>
      </w:r>
    </w:p>
  </w:footnote>
  <w:footnote w:type="continuationSeparator" w:id="0">
    <w:p w14:paraId="7F393117" w14:textId="77777777" w:rsidR="007A3CAC" w:rsidRDefault="007A3CAC"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49797318" w14:textId="77777777">
    <w:pPr>
      <w:pStyle w:val="Piedepgina"/>
      <w:jc w:val="center"/>
    </w:pPr>
    <w:r>
      <w:rPr>
        <w:noProof/>
        <w:lang w:val="es-MX" w:eastAsia="es-MX"/>
      </w:rPr>
      <w:drawing>
        <wp:inline distT="0" distB="0" distL="0" distR="0" wp14:anchorId="6DE290FA" wp14:editId="27E0C81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158504F3" w14:textId="77777777">
    <w:pPr>
      <w:pStyle w:val="Encabezado"/>
      <w:pBdr>
        <w:bottom w:val="single" w:color="auto" w:sz="4" w:space="3"/>
      </w:pBdr>
      <w:ind w:right="-1"/>
      <w:rPr>
        <w:b/>
        <w:sz w:val="20"/>
        <w:szCs w:val="20"/>
      </w:rPr>
    </w:pPr>
    <w:r>
      <w:rPr>
        <w:noProof/>
        <w:lang w:val="es-MX" w:eastAsia="es-MX"/>
      </w:rPr>
      <w:drawing>
        <wp:inline distT="0" distB="0" distL="0" distR="0" wp14:anchorId="7568411D" wp14:editId="3B96E8ED">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2B1B95A7"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2">
    <w:nsid w:val="54DC3B35"/>
    <w:multiLevelType w:val="hybridMultilevel"/>
    <w:tmpl w:val="303A7C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59EB54B7"/>
    <w:multiLevelType w:val="hybridMultilevel"/>
    <w:tmpl w:val="C652EDD2"/>
    <w:lvl w:ilvl="0" w:tplc="1C903B58">
      <w:start w:val="1"/>
      <w:numFmt w:val="lowerLetter"/>
      <w:lvlText w:val="%1)"/>
      <w:lvlJc w:val="left"/>
      <w:pPr>
        <w:ind w:left="502" w:hanging="360"/>
      </w:pPr>
      <w:rPr>
        <w:rFonts w:hint="default"/>
        <w:b w:val="0"/>
        <w:color w:val="auto"/>
        <w:sz w:val="24"/>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4">
    <w:nsid w:val="6E464F44"/>
    <w:multiLevelType w:val="hybridMultilevel"/>
    <w:tmpl w:val="EDB4C238"/>
    <w:lvl w:ilvl="0" w:tplc="9236A856">
      <w:start w:val="1"/>
      <w:numFmt w:val="lowerLetter"/>
      <w:lvlText w:val="%1)"/>
      <w:lvlJc w:val="left"/>
      <w:pPr>
        <w:ind w:left="502" w:hanging="360"/>
      </w:pPr>
      <w:rPr>
        <w:rFonts w:hint="default"/>
        <w:b w:val="0"/>
        <w:sz w:val="24"/>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5">
    <w:nsid w:val="73747380"/>
    <w:multiLevelType w:val="hybridMultilevel"/>
    <w:tmpl w:val="8E9C69C4"/>
    <w:lvl w:ilvl="0" w:tplc="7872167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7361E76"/>
    <w:multiLevelType w:val="hybridMultilevel"/>
    <w:tmpl w:val="BB1CA610"/>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17">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2"/>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AC"/>
    <w:rsid w:val="000064A4"/>
    <w:rsid w:val="00013EA2"/>
    <w:rsid w:val="00016F39"/>
    <w:rsid w:val="0002106E"/>
    <w:rsid w:val="000235B5"/>
    <w:rsid w:val="00026C85"/>
    <w:rsid w:val="00030100"/>
    <w:rsid w:val="00041BDD"/>
    <w:rsid w:val="000439A6"/>
    <w:rsid w:val="0004616D"/>
    <w:rsid w:val="00060C03"/>
    <w:rsid w:val="000646DD"/>
    <w:rsid w:val="00081865"/>
    <w:rsid w:val="00082968"/>
    <w:rsid w:val="000C62BB"/>
    <w:rsid w:val="000C7CE7"/>
    <w:rsid w:val="000E0AC6"/>
    <w:rsid w:val="000F34AE"/>
    <w:rsid w:val="00117501"/>
    <w:rsid w:val="001218FE"/>
    <w:rsid w:val="00127C18"/>
    <w:rsid w:val="001322B4"/>
    <w:rsid w:val="001327EB"/>
    <w:rsid w:val="0016220C"/>
    <w:rsid w:val="001653C6"/>
    <w:rsid w:val="0016714B"/>
    <w:rsid w:val="00183C4D"/>
    <w:rsid w:val="001946F4"/>
    <w:rsid w:val="001A6574"/>
    <w:rsid w:val="001B3B52"/>
    <w:rsid w:val="001B70CB"/>
    <w:rsid w:val="001C075B"/>
    <w:rsid w:val="001C5806"/>
    <w:rsid w:val="001E0448"/>
    <w:rsid w:val="00200172"/>
    <w:rsid w:val="00230C67"/>
    <w:rsid w:val="0025299F"/>
    <w:rsid w:val="002645B7"/>
    <w:rsid w:val="002C56A4"/>
    <w:rsid w:val="002E26C3"/>
    <w:rsid w:val="002E2B0A"/>
    <w:rsid w:val="002E3589"/>
    <w:rsid w:val="002E56D1"/>
    <w:rsid w:val="002E571B"/>
    <w:rsid w:val="002E57B4"/>
    <w:rsid w:val="002E7270"/>
    <w:rsid w:val="002F08D5"/>
    <w:rsid w:val="003023FB"/>
    <w:rsid w:val="003060E2"/>
    <w:rsid w:val="00310570"/>
    <w:rsid w:val="00317BBB"/>
    <w:rsid w:val="00322A87"/>
    <w:rsid w:val="003267FB"/>
    <w:rsid w:val="003312B8"/>
    <w:rsid w:val="003503A2"/>
    <w:rsid w:val="003554C5"/>
    <w:rsid w:val="0036097F"/>
    <w:rsid w:val="00361EF4"/>
    <w:rsid w:val="00364168"/>
    <w:rsid w:val="00365794"/>
    <w:rsid w:val="00373B22"/>
    <w:rsid w:val="00385CC2"/>
    <w:rsid w:val="00391DC5"/>
    <w:rsid w:val="003C4C71"/>
    <w:rsid w:val="003C7A47"/>
    <w:rsid w:val="003E4EDB"/>
    <w:rsid w:val="00410551"/>
    <w:rsid w:val="00410CEE"/>
    <w:rsid w:val="00414B77"/>
    <w:rsid w:val="00427002"/>
    <w:rsid w:val="00434256"/>
    <w:rsid w:val="0044547D"/>
    <w:rsid w:val="00445881"/>
    <w:rsid w:val="00447A41"/>
    <w:rsid w:val="004608D8"/>
    <w:rsid w:val="004822E6"/>
    <w:rsid w:val="00492FE3"/>
    <w:rsid w:val="004C05D6"/>
    <w:rsid w:val="004D276A"/>
    <w:rsid w:val="004D7F44"/>
    <w:rsid w:val="004F74E7"/>
    <w:rsid w:val="00501823"/>
    <w:rsid w:val="005105C4"/>
    <w:rsid w:val="00513740"/>
    <w:rsid w:val="00517866"/>
    <w:rsid w:val="00532F2C"/>
    <w:rsid w:val="0053623F"/>
    <w:rsid w:val="00540154"/>
    <w:rsid w:val="00550D78"/>
    <w:rsid w:val="00552C13"/>
    <w:rsid w:val="00557369"/>
    <w:rsid w:val="0056384E"/>
    <w:rsid w:val="005706D1"/>
    <w:rsid w:val="005739A8"/>
    <w:rsid w:val="005751FC"/>
    <w:rsid w:val="00576F91"/>
    <w:rsid w:val="00577A95"/>
    <w:rsid w:val="005852CF"/>
    <w:rsid w:val="00590F07"/>
    <w:rsid w:val="0059392E"/>
    <w:rsid w:val="005B448F"/>
    <w:rsid w:val="005B7306"/>
    <w:rsid w:val="005C1343"/>
    <w:rsid w:val="005C173B"/>
    <w:rsid w:val="005C304F"/>
    <w:rsid w:val="005C3A8C"/>
    <w:rsid w:val="005D27D5"/>
    <w:rsid w:val="005E07F2"/>
    <w:rsid w:val="005E39BB"/>
    <w:rsid w:val="006033C4"/>
    <w:rsid w:val="00603B3F"/>
    <w:rsid w:val="00604A3D"/>
    <w:rsid w:val="00606D45"/>
    <w:rsid w:val="0060703F"/>
    <w:rsid w:val="00612DC3"/>
    <w:rsid w:val="00614D68"/>
    <w:rsid w:val="00620B23"/>
    <w:rsid w:val="00623AFE"/>
    <w:rsid w:val="0062633F"/>
    <w:rsid w:val="00627F30"/>
    <w:rsid w:val="00630B5C"/>
    <w:rsid w:val="00631577"/>
    <w:rsid w:val="006338B5"/>
    <w:rsid w:val="0063474B"/>
    <w:rsid w:val="00635AC4"/>
    <w:rsid w:val="00640202"/>
    <w:rsid w:val="00662901"/>
    <w:rsid w:val="00665688"/>
    <w:rsid w:val="00681F7A"/>
    <w:rsid w:val="00692661"/>
    <w:rsid w:val="006C2059"/>
    <w:rsid w:val="006C3A61"/>
    <w:rsid w:val="006E3610"/>
    <w:rsid w:val="006E6F58"/>
    <w:rsid w:val="006F0FE6"/>
    <w:rsid w:val="0071134B"/>
    <w:rsid w:val="0071464A"/>
    <w:rsid w:val="00714DC4"/>
    <w:rsid w:val="00742018"/>
    <w:rsid w:val="0074397B"/>
    <w:rsid w:val="007455FF"/>
    <w:rsid w:val="00750369"/>
    <w:rsid w:val="00755896"/>
    <w:rsid w:val="00765619"/>
    <w:rsid w:val="007736D4"/>
    <w:rsid w:val="00781E23"/>
    <w:rsid w:val="00785C13"/>
    <w:rsid w:val="0079518D"/>
    <w:rsid w:val="007A3CAC"/>
    <w:rsid w:val="007B18D6"/>
    <w:rsid w:val="007B391D"/>
    <w:rsid w:val="007B51DD"/>
    <w:rsid w:val="007C3940"/>
    <w:rsid w:val="007D1328"/>
    <w:rsid w:val="007F1723"/>
    <w:rsid w:val="007F327D"/>
    <w:rsid w:val="007F3A44"/>
    <w:rsid w:val="007F5430"/>
    <w:rsid w:val="007F68A5"/>
    <w:rsid w:val="0081058F"/>
    <w:rsid w:val="0081111D"/>
    <w:rsid w:val="008202A0"/>
    <w:rsid w:val="008310AB"/>
    <w:rsid w:val="00832753"/>
    <w:rsid w:val="00842773"/>
    <w:rsid w:val="0085692C"/>
    <w:rsid w:val="00864362"/>
    <w:rsid w:val="00883AFD"/>
    <w:rsid w:val="00887400"/>
    <w:rsid w:val="00892708"/>
    <w:rsid w:val="00893B0D"/>
    <w:rsid w:val="00895097"/>
    <w:rsid w:val="008A1AA2"/>
    <w:rsid w:val="008A63B7"/>
    <w:rsid w:val="008B3838"/>
    <w:rsid w:val="008B520F"/>
    <w:rsid w:val="008C0BF0"/>
    <w:rsid w:val="008D0528"/>
    <w:rsid w:val="008D198F"/>
    <w:rsid w:val="008E5850"/>
    <w:rsid w:val="008F1461"/>
    <w:rsid w:val="008F33F5"/>
    <w:rsid w:val="00901D08"/>
    <w:rsid w:val="00904250"/>
    <w:rsid w:val="0090483D"/>
    <w:rsid w:val="00904CBE"/>
    <w:rsid w:val="00906CC5"/>
    <w:rsid w:val="00922CD9"/>
    <w:rsid w:val="00936085"/>
    <w:rsid w:val="009475B6"/>
    <w:rsid w:val="00957A11"/>
    <w:rsid w:val="00962265"/>
    <w:rsid w:val="0097235C"/>
    <w:rsid w:val="00977CEE"/>
    <w:rsid w:val="00981B0F"/>
    <w:rsid w:val="00982147"/>
    <w:rsid w:val="00983CB1"/>
    <w:rsid w:val="00984A65"/>
    <w:rsid w:val="009908DE"/>
    <w:rsid w:val="009B0282"/>
    <w:rsid w:val="009B2688"/>
    <w:rsid w:val="009B5E5E"/>
    <w:rsid w:val="009C47FE"/>
    <w:rsid w:val="009D3BFA"/>
    <w:rsid w:val="009F54CB"/>
    <w:rsid w:val="00A26E9E"/>
    <w:rsid w:val="00A34523"/>
    <w:rsid w:val="00A43A12"/>
    <w:rsid w:val="00A76A2E"/>
    <w:rsid w:val="00A84CDB"/>
    <w:rsid w:val="00A8530F"/>
    <w:rsid w:val="00A86C83"/>
    <w:rsid w:val="00A906DD"/>
    <w:rsid w:val="00AB1CD1"/>
    <w:rsid w:val="00AB580B"/>
    <w:rsid w:val="00AC5138"/>
    <w:rsid w:val="00AC5E12"/>
    <w:rsid w:val="00AE08B8"/>
    <w:rsid w:val="00AE3929"/>
    <w:rsid w:val="00AF45B7"/>
    <w:rsid w:val="00AF482D"/>
    <w:rsid w:val="00B079EC"/>
    <w:rsid w:val="00B109EE"/>
    <w:rsid w:val="00B1318C"/>
    <w:rsid w:val="00B16626"/>
    <w:rsid w:val="00B3346F"/>
    <w:rsid w:val="00B33EA9"/>
    <w:rsid w:val="00B43C40"/>
    <w:rsid w:val="00B464F6"/>
    <w:rsid w:val="00B77CF0"/>
    <w:rsid w:val="00B80284"/>
    <w:rsid w:val="00B820C3"/>
    <w:rsid w:val="00B84E87"/>
    <w:rsid w:val="00B90216"/>
    <w:rsid w:val="00B94DE2"/>
    <w:rsid w:val="00B96F68"/>
    <w:rsid w:val="00BA112E"/>
    <w:rsid w:val="00BA711C"/>
    <w:rsid w:val="00BB0F2F"/>
    <w:rsid w:val="00BB470C"/>
    <w:rsid w:val="00BC03D6"/>
    <w:rsid w:val="00BD6818"/>
    <w:rsid w:val="00BD71E9"/>
    <w:rsid w:val="00BE119A"/>
    <w:rsid w:val="00BE6A0B"/>
    <w:rsid w:val="00BE7B10"/>
    <w:rsid w:val="00C039CE"/>
    <w:rsid w:val="00C1795E"/>
    <w:rsid w:val="00C22C6C"/>
    <w:rsid w:val="00C414C9"/>
    <w:rsid w:val="00C42047"/>
    <w:rsid w:val="00C5093E"/>
    <w:rsid w:val="00C60480"/>
    <w:rsid w:val="00C64425"/>
    <w:rsid w:val="00C71968"/>
    <w:rsid w:val="00C72DFA"/>
    <w:rsid w:val="00C809BA"/>
    <w:rsid w:val="00C9305E"/>
    <w:rsid w:val="00CA3FA8"/>
    <w:rsid w:val="00CB07CA"/>
    <w:rsid w:val="00CB2C11"/>
    <w:rsid w:val="00CE3B72"/>
    <w:rsid w:val="00D017C2"/>
    <w:rsid w:val="00D03728"/>
    <w:rsid w:val="00D06E99"/>
    <w:rsid w:val="00D102F8"/>
    <w:rsid w:val="00D10AD8"/>
    <w:rsid w:val="00D1330E"/>
    <w:rsid w:val="00D2424F"/>
    <w:rsid w:val="00D26EDE"/>
    <w:rsid w:val="00D32808"/>
    <w:rsid w:val="00D43D57"/>
    <w:rsid w:val="00D44EF3"/>
    <w:rsid w:val="00D45FC0"/>
    <w:rsid w:val="00D51C1C"/>
    <w:rsid w:val="00D52BD5"/>
    <w:rsid w:val="00D54C08"/>
    <w:rsid w:val="00D55CA3"/>
    <w:rsid w:val="00D96D0A"/>
    <w:rsid w:val="00DB3508"/>
    <w:rsid w:val="00DB3E70"/>
    <w:rsid w:val="00DB6B85"/>
    <w:rsid w:val="00DC2193"/>
    <w:rsid w:val="00DC3B8E"/>
    <w:rsid w:val="00DE08C6"/>
    <w:rsid w:val="00DE18D9"/>
    <w:rsid w:val="00E0013C"/>
    <w:rsid w:val="00E11252"/>
    <w:rsid w:val="00E11C48"/>
    <w:rsid w:val="00E13C47"/>
    <w:rsid w:val="00E2450C"/>
    <w:rsid w:val="00E2521A"/>
    <w:rsid w:val="00E5185D"/>
    <w:rsid w:val="00E75AC8"/>
    <w:rsid w:val="00E82177"/>
    <w:rsid w:val="00E830CC"/>
    <w:rsid w:val="00E87895"/>
    <w:rsid w:val="00EA2CDD"/>
    <w:rsid w:val="00EB4E27"/>
    <w:rsid w:val="00EB71D8"/>
    <w:rsid w:val="00EC2E48"/>
    <w:rsid w:val="00EC61EF"/>
    <w:rsid w:val="00ED0FDD"/>
    <w:rsid w:val="00ED1EC4"/>
    <w:rsid w:val="00EE00D4"/>
    <w:rsid w:val="00EE3A47"/>
    <w:rsid w:val="00EF0C8B"/>
    <w:rsid w:val="00F10AFE"/>
    <w:rsid w:val="00F1102D"/>
    <w:rsid w:val="00F1297C"/>
    <w:rsid w:val="00F12A97"/>
    <w:rsid w:val="00F47A27"/>
    <w:rsid w:val="00F6038D"/>
    <w:rsid w:val="00F654F5"/>
    <w:rsid w:val="00F731A3"/>
    <w:rsid w:val="00F8680D"/>
    <w:rsid w:val="00FA1E58"/>
    <w:rsid w:val="00FA29B1"/>
    <w:rsid w:val="00FA54DF"/>
    <w:rsid w:val="00FB79EB"/>
    <w:rsid w:val="00FC0C2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1B94349"/>
  <w15:docId w15:val="{E017E535-06B5-484F-87AA-26D905E4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34"/>
    <w:qFormat/>
    <w:locked/>
    <w:rsid w:val="007A3CAC"/>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7A3CAC"/>
    <w:rPr>
      <w:rFonts w:ascii="Times New Roman" w:eastAsia="Times New Roman" w:hAnsi="Times New Roman"/>
      <w:sz w:val="24"/>
      <w:szCs w:val="24"/>
      <w:lang w:val="es-ES" w:eastAsia="es-ES"/>
    </w:rPr>
  </w:style>
  <w:style w:type="character" w:styleId="Hipervnculo">
    <w:name w:val="Hyperlink"/>
    <w:basedOn w:val="Fuentedeprrafopredeter"/>
    <w:locked/>
    <w:rsid w:val="007A3CAC"/>
    <w:rPr>
      <w:rFonts w:ascii="Times New Roman" w:hAnsi="Times New Roman" w:cs="Times New Roman" w:hint="default"/>
      <w:b w:val="0"/>
      <w:bCs w:val="0"/>
      <w:i w:val="0"/>
      <w:iCs w:val="0"/>
      <w:caps w:val="0"/>
      <w:smallCaps w:val="0"/>
      <w:color w:val="0033FF"/>
      <w:sz w:val="24"/>
      <w:szCs w:val="24"/>
      <w:u w:val="single"/>
      <w:shd w:val="clear" w:color="auto" w:fill="auto"/>
    </w:rPr>
  </w:style>
  <w:style w:type="paragraph" w:styleId="Textonotapie">
    <w:name w:val="footnote text"/>
    <w:basedOn w:val="Normal"/>
    <w:link w:val="TextonotapieCar"/>
    <w:uiPriority w:val="99"/>
    <w:semiHidden/>
    <w:unhideWhenUsed/>
    <w:locked/>
    <w:rsid w:val="007A3CAC"/>
    <w:pPr>
      <w:spacing w:line="240" w:lineRule="auto"/>
      <w:jc w:val="left"/>
    </w:pPr>
    <w:rPr>
      <w:rFonts w:ascii="Arial" w:eastAsiaTheme="minorHAnsi" w:hAnsi="Arial" w:cs="Arial"/>
      <w:sz w:val="20"/>
      <w:szCs w:val="20"/>
      <w:lang w:val="es-CR"/>
    </w:rPr>
  </w:style>
  <w:style w:type="character" w:customStyle="1" w:styleId="TextonotapieCar">
    <w:name w:val="Texto nota pie Car"/>
    <w:basedOn w:val="Fuentedeprrafopredeter"/>
    <w:link w:val="Textonotapie"/>
    <w:uiPriority w:val="99"/>
    <w:semiHidden/>
    <w:rsid w:val="007A3CAC"/>
    <w:rPr>
      <w:rFonts w:ascii="Arial" w:eastAsiaTheme="minorHAnsi" w:hAnsi="Arial" w:cs="Arial"/>
      <w:lang w:eastAsia="en-US"/>
    </w:rPr>
  </w:style>
  <w:style w:type="character" w:styleId="Hipervnculovisitado">
    <w:name w:val="FollowedHyperlink"/>
    <w:basedOn w:val="Fuentedeprrafopredeter"/>
    <w:uiPriority w:val="99"/>
    <w:semiHidden/>
    <w:unhideWhenUsed/>
    <w:locked/>
    <w:rsid w:val="007C3940"/>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4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directo.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gef.fi.c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oportefirmadigital.com/web/es/que-es-firma-digital.html"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AC8204/Forms/Correspondencia%20Externa%20SUGEF/plantilla-SGF-AC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2FD16F9C5E45BF86FE7DEC7CC47E49"/>
        <w:category>
          <w:name w:val="General"/>
          <w:gallery w:val="placeholder"/>
        </w:category>
        <w:types>
          <w:type w:val="bbPlcHdr"/>
        </w:types>
        <w:behaviors>
          <w:behavior w:val="content"/>
        </w:behaviors>
        <w:guid w:val="{35A0D09F-7FE8-46B8-A16E-DCDA2B0F8160}"/>
      </w:docPartPr>
      <w:docPartBody>
        <w:p w:rsidR="009B78C4" w:rsidRDefault="009B78C4">
          <w:pPr>
            <w:pStyle w:val="3C2FD16F9C5E45BF86FE7DEC7CC47E49"/>
          </w:pPr>
          <w:r w:rsidRPr="001E0779">
            <w:rPr>
              <w:rStyle w:val="Textodelmarcadordeposicin"/>
            </w:rPr>
            <w:t>Haga clic aquí para escribir texto.</w:t>
          </w:r>
        </w:p>
      </w:docPartBody>
    </w:docPart>
    <w:docPart>
      <w:docPartPr>
        <w:name w:val="E53711F430EF4F2FA36F658C12695360"/>
        <w:category>
          <w:name w:val="General"/>
          <w:gallery w:val="placeholder"/>
        </w:category>
        <w:types>
          <w:type w:val="bbPlcHdr"/>
        </w:types>
        <w:behaviors>
          <w:behavior w:val="content"/>
        </w:behaviors>
        <w:guid w:val="{4E8212D1-6FFD-401C-9028-DEAE266199AA}"/>
      </w:docPartPr>
      <w:docPartBody>
        <w:p w:rsidR="009B78C4" w:rsidRDefault="009B78C4">
          <w:pPr>
            <w:pStyle w:val="E53711F430EF4F2FA36F658C1269536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C4"/>
    <w:rsid w:val="009B78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C2FD16F9C5E45BF86FE7DEC7CC47E49">
    <w:name w:val="3C2FD16F9C5E45BF86FE7DEC7CC47E49"/>
  </w:style>
  <w:style w:type="paragraph" w:customStyle="1" w:styleId="E53711F430EF4F2FA36F658C12695360">
    <w:name w:val="E53711F430EF4F2FA36F658C12695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QGQtDlyKt1G02VqAnHna6nKRKnGS+TTuoUwSbAoBVG0=</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2+3T5pkwuxGYABbYS6ZagZATMWYXF2VKS/iFaMUqCYk=</DigestValue>
    </Reference>
  </SignedInfo>
  <SignatureValue>N3ohcA7a+9cLH/ZaD6+IR7DsKkFFNSudiFoltJpsr+L0Y8H38C0RbXP9uItpmrcqTcaaIPI50Aeq
+t2GPlgGoaHZvvRp1rJrj3ie38q2RiZYYDGpScQ8tHxZ8uAECaI8d61jMMLogm7nb8FAnvHfSteP
Jh0zgPwA+7YB0Zo54+BAPyLnBYgeRROMrSfIdgYN8mqNAB7FNgolHbrc66NfaMC173XSmspc2tyn
LlgGVAqVME+j+LoiJ6e9xpkCP5z1vySng4dSQmh4dODQu/EMl39X7oUaB+FTKxU0YFE7M+InxCpm
0OWE8twdYbs7aF3cfz74csiVCVhyrj+OOhLFQg==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IogX1gLOzcSV/Go4rboIShSKnnYqdVvmTe68Mtc4pAg=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a/0SeP3xMihfGH4uT3OMz/z7FDIKre2WPISLqLyqqDE=</DigestValue>
      </Reference>
      <Reference URI="/word/document.xml?ContentType=application/vnd.openxmlformats-officedocument.wordprocessingml.document.main+xml">
        <DigestMethod Algorithm="http://www.w3.org/2001/04/xmlenc#sha256"/>
        <DigestValue>e3y8I0bW6cZJ77ydAQvt6QUwm+olljcyG9/LceRol1A=</DigestValue>
      </Reference>
      <Reference URI="/word/endnotes.xml?ContentType=application/vnd.openxmlformats-officedocument.wordprocessingml.endnotes+xml">
        <DigestMethod Algorithm="http://www.w3.org/2001/04/xmlenc#sha256"/>
        <DigestValue>dNE5PEWEgkVWzJ2fhhlir6J/yU16j+s5pjXWilOswhQ=</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oFv+c/ylFX7oWYVX/xq+ZllgK5l/KExPKcuISQTXi6k=</DigestValue>
      </Reference>
      <Reference URI="/word/footer2.xml?ContentType=application/vnd.openxmlformats-officedocument.wordprocessingml.footer+xml">
        <DigestMethod Algorithm="http://www.w3.org/2001/04/xmlenc#sha256"/>
        <DigestValue>v5RGy3IV4ITWziFaykNX7r5RXGSHhYIbnxkxQ7xKo40=</DigestValue>
      </Reference>
      <Reference URI="/word/footnotes.xml?ContentType=application/vnd.openxmlformats-officedocument.wordprocessingml.footnotes+xml">
        <DigestMethod Algorithm="http://www.w3.org/2001/04/xmlenc#sha256"/>
        <DigestValue>exkBbTG5BAEbHq9zv8EcXasP8ruGBed3u/z7cuqNDrs=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AKVpoXrUL0S+5WZPkTXTtOh+542LsyAYwtyFd4ojmKw=</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D9GaLWzNIbDJMGXKYWnHdB5xBJi/p4tOmUoB8pInBxo=</DigestValue>
      </Reference>
      <Reference URI="/word/glossary/styles.xml?ContentType=application/vnd.openxmlformats-officedocument.wordprocessingml.styles+xml">
        <DigestMethod Algorithm="http://www.w3.org/2001/04/xmlenc#sha256"/>
        <DigestValue>MuEM0AnV8T4iHnntH7+2WJvPzL40JZnNX7jdrv7Vd78=</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baGrzFZ9wgeVDL16YmOmabKQ1UpDeJquUD5DBgYKKlA=</DigestValue>
      </Reference>
      <Reference URI="/word/header2.xml?ContentType=application/vnd.openxmlformats-officedocument.wordprocessingml.header+xml">
        <DigestMethod Algorithm="http://www.w3.org/2001/04/xmlenc#sha256"/>
        <DigestValue>PQmEVXD37Iw5K/UoqlHZpy9nRKrkPA1dfyX71kQU+eo=</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boYKhZXNLl8Aa4JixI9tP3+yqRikQncRIQSgxWreLP8=</DigestValue>
      </Reference>
      <Reference URI="/word/settings.xml?ContentType=application/vnd.openxmlformats-officedocument.wordprocessingml.settings+xml">
        <DigestMethod Algorithm="http://www.w3.org/2001/04/xmlenc#sha256"/>
        <DigestValue>qHHBPXeg68DArTm89bJXaCYu8EnVXz6eZ9uRMhph08w=</DigestValue>
      </Reference>
      <Reference URI="/word/styles.xml?ContentType=application/vnd.openxmlformats-officedocument.wordprocessingml.styles+xml">
        <DigestMethod Algorithm="http://www.w3.org/2001/04/xmlenc#sha256"/>
        <DigestValue>0GskkhUczQBei/vaozzgUYuCR+cxdw7GTNWzQwpk7Sk=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VyxKNZ54XtBL3XXZzyhdhfoT09MW7Ns31y8+J2rHQO8=</DigestValue>
      </Reference>
    </Manifest>
    <SignatureProperties>
      <SignatureProperty Id="idSignatureTime" Target="#idPackageSignature">
        <mdssi:SignatureTime xmlns:mdssi="http://schemas.openxmlformats.org/package/2006/digital-signature">
          <mdssi:Format>YYYY-MM-DDThh:mm:ssTZD</mdssi:Format>
          <mdssi:Value>2018-11-19T22:24:52Z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2018-11-19T22:24:52Z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b875e23b-67d9-4b2e-bdec-edacbf90b326">
      <Value>426</Value>
      <Value>3</Value>
      <Value>2</Value>
      <Value>127</Value>
      <Value>63</Value>
    </TaxCatchAll>
    <OtraEntidadExterna xmlns="b875e23b-67d9-4b2e-bdec-edacbf90b326">A los Sujetos Obligados por los Artículos 15 y 15 Bis de la Ley 7786 y Público en General</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i:0#.w|pdc-atlantida\cotoar</DisplayName>
        <AccountId>291</AccountId>
        <AccountType/>
      </UserInfo>
      <UserInfo>
        <DisplayName>i:0#.w|pdc-atlantida\cuberocm</DisplayName>
        <AccountId>1767</AccountId>
        <AccountType/>
      </UserInfo>
      <UserInfo>
        <DisplayName>i:0#.w|pdc-atlantida\soleraqc</DisplayName>
        <AccountId>842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Circular Externa Inscripción Reglamento Acuerdo SUGEF 11-18 dirigida a Art. 15, (A los Sujetos Obligados Por Los Artículos 15 Y 15 Bis De La Ley 7786 y Público En General)
Se debe publicar en la página web. 	
Circular Externa Inscripción Reglamento Acuerdo SUGEF 11-18 dirigida a Art. 15 y 15bis, se notifica por sistema de notificaciones. </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Análisis y Cumplimiento Ley 8204</RemitenteOriginal>
    <Secretaria xmlns="b875e23b-67d9-4b2e-bdec-edacbf90b326">
      <UserInfo>
        <DisplayName>BARRANTES ROSALES HANNIA</DisplayName>
        <AccountId>1829</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Inscripción Reglamento Acuerdo SUGEF 11-18 dirigida a Art. 15</Subject1>
    <Entrante_x0020_relacionado xmlns="b875e23b-67d9-4b2e-bdec-edacbf90b326">
      <Url xsi:nil="true"/>
      <Description xsi:nil="true"/>
    </Entrante_x0020_relacionado>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0C41DFB-E1F1-422A-9CA0-D7E0D68673AA}"/>
</file>

<file path=customXml/itemProps2.xml><?xml version="1.0" encoding="utf-8"?>
<ds:datastoreItem xmlns:ds="http://schemas.openxmlformats.org/officeDocument/2006/customXml" ds:itemID="{89CE0913-C28A-482F-BB12-5706CBE8A9B9}"/>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7E8DDDF2-61B9-4A15-972F-DC84B988B061}"/>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79767354-C28E-4D3C-AA00-0BFF102B14FC}"/>
</file>

<file path=docProps/app.xml><?xml version="1.0" encoding="utf-8"?>
<Properties xmlns="http://schemas.openxmlformats.org/officeDocument/2006/extended-properties" xmlns:vt="http://schemas.openxmlformats.org/officeDocument/2006/docPropsVTypes">
  <Template>plantilla-SGF-ACL-13-E</Template>
  <TotalTime>136</TotalTime>
  <Pages>5</Pages>
  <Words>1445</Words>
  <Characters>7952</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Celenia Solera Quesada</dc:creator>
  <cp:lastModifiedBy>COTO ALFARO RAFAEL</cp:lastModifiedBy>
  <cp:revision>78</cp:revision>
  <cp:lastPrinted>2015-07-30T22:36:00Z</cp:lastPrinted>
  <dcterms:created xsi:type="dcterms:W3CDTF">2018-11-08T22:07:00Z</dcterms:created>
  <dcterms:modified xsi:type="dcterms:W3CDTF">2018-11-18T20:09:00Z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127;#Propietario|172cdb65-abed-4947-8339-a6c2477d21bb</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3" name="Order">
    <vt:r8>99400</vt:r8>
  </property>
  <property fmtid="{D5CDD505-2E9C-101B-9397-08002B2CF9AE}" pid="15" name="Confidencialidad">
    <vt:lpwstr>Propietario|172cdb65-abed-4947-8339-a6c2477d21bb</vt:lpwstr>
  </property>
  <property fmtid="{D5CDD505-2E9C-101B-9397-08002B2CF9AE}" pid="16" name="WorkflowChangePath">
    <vt:lpwstr>d6c6aed4-e342-4faf-a234-cd9a4f593e49,5;cb1954ac-0595-4038-a807-eb26625a3b7c,8;cb1954ac-0595-4038-a807-eb26625a3b7c,8;</vt:lpwstr>
  </property>
</Properties>
</file>